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9D0AE2" w:rsidRDefault="00F21921" w:rsidP="00F21921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9D0AE2" w:rsidRDefault="0054718C" w:rsidP="00C478AF">
            <w:pPr>
              <w:spacing w:after="0" w:line="240" w:lineRule="auto"/>
              <w:jc w:val="center"/>
              <w:rPr>
                <w:lang w:val="sk-SK"/>
              </w:rPr>
            </w:pPr>
            <w:r w:rsidRPr="0054718C">
              <w:rPr>
                <w:rFonts w:asciiTheme="minorHAnsi" w:hAnsiTheme="minorHAnsi" w:cstheme="minorHAnsi"/>
                <w:b/>
              </w:rPr>
              <w:t>VÝPLACH ŽALÚDKA POMOCOU LIEVIKA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C478AF" w:rsidTr="009D0AE2">
        <w:tc>
          <w:tcPr>
            <w:tcW w:w="0" w:type="auto"/>
            <w:shd w:val="clear" w:color="auto" w:fill="auto"/>
          </w:tcPr>
          <w:p w:rsidR="00E624C3" w:rsidRPr="00C478AF" w:rsidRDefault="00E624C3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Charakteristika štandardu</w:t>
            </w:r>
            <w:r w:rsidR="008A2D80" w:rsidRPr="00C478AF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C478AF" w:rsidRDefault="00A84BE3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procesuálny</w:t>
            </w:r>
            <w:r w:rsidR="00C478AF" w:rsidRP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štandard</w:t>
            </w:r>
            <w:r w:rsidR="00C478AF" w:rsidRP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výkonu</w:t>
            </w:r>
          </w:p>
        </w:tc>
      </w:tr>
      <w:tr w:rsidR="00E624C3" w:rsidRPr="00C478AF" w:rsidTr="009D0AE2">
        <w:tc>
          <w:tcPr>
            <w:tcW w:w="0" w:type="auto"/>
            <w:shd w:val="clear" w:color="auto" w:fill="auto"/>
          </w:tcPr>
          <w:p w:rsidR="00E624C3" w:rsidRPr="00C478AF" w:rsidRDefault="00E624C3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Cieľ</w:t>
            </w:r>
            <w:r w:rsidR="008A2D80" w:rsidRPr="00C478AF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A84BE3" w:rsidRPr="00C478AF" w:rsidRDefault="00A84BE3" w:rsidP="00A84BE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liečebný: odstrániť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obsah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žalúdka (napr. jedy, lieky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otravách, huby a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iné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látky).</w:t>
            </w:r>
          </w:p>
          <w:p w:rsidR="00E624C3" w:rsidRPr="00C478AF" w:rsidRDefault="00A84BE3" w:rsidP="00C478A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diagnostický: odobrať a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zistiť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druh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požitej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látky.</w:t>
            </w:r>
          </w:p>
        </w:tc>
      </w:tr>
      <w:tr w:rsidR="00E624C3" w:rsidRPr="00C478AF" w:rsidTr="009D0AE2">
        <w:tc>
          <w:tcPr>
            <w:tcW w:w="0" w:type="auto"/>
            <w:shd w:val="clear" w:color="auto" w:fill="auto"/>
          </w:tcPr>
          <w:p w:rsidR="00E624C3" w:rsidRPr="00C478AF" w:rsidRDefault="00E624C3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Skupina starostlivosti</w:t>
            </w:r>
            <w:r w:rsidR="008A2D80" w:rsidRPr="00C478AF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C478AF" w:rsidRDefault="00A84BE3" w:rsidP="00C478AF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pacienti s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indikáciou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žalúdka</w:t>
            </w:r>
          </w:p>
        </w:tc>
      </w:tr>
    </w:tbl>
    <w:p w:rsidR="00E624C3" w:rsidRPr="00C478AF" w:rsidRDefault="00E624C3" w:rsidP="00EA0C31">
      <w:pPr>
        <w:spacing w:after="0"/>
        <w:rPr>
          <w:lang w:val="sk-SK"/>
        </w:rPr>
      </w:pPr>
    </w:p>
    <w:p w:rsidR="00D4014C" w:rsidRPr="00C478AF" w:rsidRDefault="00D4014C" w:rsidP="00EA0C31">
      <w:pPr>
        <w:spacing w:after="0"/>
        <w:rPr>
          <w:b/>
          <w:lang w:val="sk-SK"/>
        </w:rPr>
      </w:pPr>
      <w:r w:rsidRPr="00C478AF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344"/>
      </w:tblGrid>
      <w:tr w:rsidR="009D0AE2" w:rsidRPr="00C478AF" w:rsidTr="009D0AE2">
        <w:tc>
          <w:tcPr>
            <w:tcW w:w="0" w:type="auto"/>
            <w:shd w:val="clear" w:color="auto" w:fill="auto"/>
          </w:tcPr>
          <w:p w:rsidR="007A1E76" w:rsidRPr="00C478AF" w:rsidRDefault="00D4014C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Š</w:t>
            </w:r>
            <w:r w:rsidRPr="00C478AF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C478AF" w:rsidRDefault="008A2D80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BB7802" w:rsidRPr="00C478AF">
              <w:rPr>
                <w:lang w:val="sk-SK"/>
              </w:rPr>
              <w:t>racovníci</w:t>
            </w:r>
            <w:r w:rsidRPr="00C478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A84BE3" w:rsidRPr="00C478AF" w:rsidRDefault="00A84BE3" w:rsidP="00C478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praktická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sestra v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prítomnosti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lekára u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vedomí</w:t>
            </w:r>
            <w:r w:rsidRPr="00C478AF">
              <w:rPr>
                <w:rFonts w:asciiTheme="minorHAnsi" w:hAnsiTheme="minorHAnsi" w:cstheme="minorHAnsi"/>
                <w:lang w:val="sk-SK"/>
              </w:rPr>
              <w:tab/>
            </w:r>
          </w:p>
          <w:p w:rsidR="00A84BE3" w:rsidRPr="00C478AF" w:rsidRDefault="00A84BE3" w:rsidP="00C478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dve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sestry a lekár u pacienta  v bezvedomí,</w:t>
            </w:r>
          </w:p>
          <w:p w:rsidR="007A1E76" w:rsidRPr="00C478AF" w:rsidRDefault="00A84BE3" w:rsidP="00C478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u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výrazne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nepokojného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pacienta, ktorý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nespolupracuje, sa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vyžaduje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aj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prítomnosť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praktickej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sestry</w:t>
            </w:r>
          </w:p>
        </w:tc>
      </w:tr>
      <w:tr w:rsidR="009D0AE2" w:rsidRPr="00C478AF" w:rsidTr="009D0AE2">
        <w:tc>
          <w:tcPr>
            <w:tcW w:w="0" w:type="auto"/>
            <w:shd w:val="clear" w:color="auto" w:fill="auto"/>
          </w:tcPr>
          <w:p w:rsidR="00D4014C" w:rsidRPr="00C478AF" w:rsidRDefault="00D4014C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Š</w:t>
            </w:r>
            <w:r w:rsidRPr="00C478A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C478AF" w:rsidRDefault="008A2D80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BB7802" w:rsidRPr="00C478AF">
              <w:rPr>
                <w:lang w:val="sk-SK"/>
              </w:rPr>
              <w:t>rostredie</w:t>
            </w:r>
            <w:r w:rsidRPr="00C478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C478AF" w:rsidRDefault="00A84BE3" w:rsidP="00C478AF">
            <w:pPr>
              <w:pStyle w:val="Odsekzoznamu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odborné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učebne, ústavné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zdravotnícke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zariadenie</w:t>
            </w:r>
          </w:p>
        </w:tc>
      </w:tr>
      <w:tr w:rsidR="009D0AE2" w:rsidRPr="00C478AF" w:rsidTr="009D0AE2">
        <w:tc>
          <w:tcPr>
            <w:tcW w:w="0" w:type="auto"/>
            <w:shd w:val="clear" w:color="auto" w:fill="auto"/>
          </w:tcPr>
          <w:p w:rsidR="00D4014C" w:rsidRPr="00C478AF" w:rsidRDefault="00D4014C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Š</w:t>
            </w:r>
            <w:r w:rsidRPr="00C478AF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C478AF" w:rsidRDefault="008A2D80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BB7802" w:rsidRPr="00C478AF">
              <w:rPr>
                <w:lang w:val="sk-SK"/>
              </w:rPr>
              <w:t>omôcky</w:t>
            </w:r>
            <w:r w:rsidRPr="00C478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C478AF" w:rsidRDefault="00A84BE3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hrubá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sonda –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Kussmaulova</w:t>
            </w:r>
            <w:proofErr w:type="spellEnd"/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číslo 36, stojan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irigátor, irigátor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alebo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plastový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lievik,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lavážna</w:t>
            </w:r>
            <w:proofErr w:type="spellEnd"/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tekutina –vlažná, izbovej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teploty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pitná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voda(</w:t>
            </w:r>
            <w:r w:rsidRPr="00C478AF">
              <w:rPr>
                <w:rFonts w:asciiTheme="minorHAnsi" w:hAnsiTheme="minorHAnsi" w:cstheme="minorHAnsi"/>
                <w:lang w:val="sk-SK"/>
              </w:rPr>
              <w:t>22°C, mierne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slanej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chuti, 3-5 litrov a teplá 37°C), pomôcky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zabezpečenie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intravenózneho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prístupu,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infúzny</w:t>
            </w:r>
            <w:proofErr w:type="spellEnd"/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stojan,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peán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Jannetova</w:t>
            </w:r>
            <w:proofErr w:type="spellEnd"/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striekačka, gél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rozpustný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vode,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Mesocain</w:t>
            </w:r>
            <w:proofErr w:type="spellEnd"/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gél, náustok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proti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prehryznutiu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žalúdočnej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sondy, leukoplast, uzatvárateľná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nádoba so širokým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hrdlom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vzorku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žalúdočného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obsahu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laboratórnu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analýzu, buničitá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vata, nepremokavá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zástera,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jednorázové</w:t>
            </w:r>
            <w:proofErr w:type="spellEnd"/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rukavice,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odsávačka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>, fonendoskop a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iné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pomôcky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podľa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potreby.</w:t>
            </w:r>
          </w:p>
        </w:tc>
      </w:tr>
      <w:tr w:rsidR="009D0AE2" w:rsidRPr="00C478AF" w:rsidTr="009D0AE2">
        <w:tc>
          <w:tcPr>
            <w:tcW w:w="0" w:type="auto"/>
            <w:shd w:val="clear" w:color="auto" w:fill="auto"/>
          </w:tcPr>
          <w:p w:rsidR="00D4014C" w:rsidRPr="00C478AF" w:rsidRDefault="00D4014C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Š</w:t>
            </w:r>
            <w:r w:rsidRPr="00C478AF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C478AF" w:rsidRDefault="008A2D80" w:rsidP="009D0AE2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D</w:t>
            </w:r>
            <w:r w:rsidR="00BB7802" w:rsidRPr="00C478AF">
              <w:rPr>
                <w:lang w:val="sk-SK"/>
              </w:rPr>
              <w:t>okumentácia</w:t>
            </w:r>
            <w:r w:rsidRPr="00C478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C478AF" w:rsidRDefault="00A84BE3" w:rsidP="00C478AF">
            <w:pPr>
              <w:pStyle w:val="Odsekzoznamu"/>
              <w:spacing w:after="0" w:line="240" w:lineRule="auto"/>
              <w:ind w:left="0"/>
              <w:jc w:val="both"/>
              <w:rPr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zdravotná/ošetrovateľská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dokumentácia.</w:t>
            </w:r>
          </w:p>
        </w:tc>
      </w:tr>
    </w:tbl>
    <w:p w:rsidR="007A1E76" w:rsidRPr="00C478AF" w:rsidRDefault="007A1E76" w:rsidP="00EA0C31">
      <w:pPr>
        <w:spacing w:after="0" w:line="240" w:lineRule="auto"/>
        <w:rPr>
          <w:lang w:val="sk-SK"/>
        </w:rPr>
      </w:pPr>
    </w:p>
    <w:p w:rsidR="001A5FD5" w:rsidRPr="00C478AF" w:rsidRDefault="00D4014C" w:rsidP="00EA0C31">
      <w:pPr>
        <w:spacing w:after="0" w:line="240" w:lineRule="auto"/>
        <w:rPr>
          <w:b/>
          <w:lang w:val="sk-SK"/>
        </w:rPr>
      </w:pPr>
      <w:r w:rsidRPr="00C478AF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702"/>
      </w:tblGrid>
      <w:tr w:rsidR="00CA7B7B" w:rsidRPr="00C478AF" w:rsidTr="000A4983">
        <w:tc>
          <w:tcPr>
            <w:tcW w:w="0" w:type="auto"/>
            <w:shd w:val="clear" w:color="auto" w:fill="auto"/>
          </w:tcPr>
          <w:p w:rsidR="00CA7B7B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Pr="00C478AF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pripraví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pomôcky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žalúdka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34468B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vysvetlí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pacientovi, ak je pri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vedomí, účel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výplachu, spôsob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zavádzania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 a</w:t>
            </w:r>
            <w:r w:rsidR="00C478AF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celý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postup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žalúdka. Ak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má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sníma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teľnú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protézu, vyberie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ju z úst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51A3F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umyje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pred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výkonom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ruky</w:t>
            </w:r>
          </w:p>
        </w:tc>
      </w:tr>
      <w:tr w:rsidR="00A7606D" w:rsidRPr="00C478AF" w:rsidTr="000A4983">
        <w:tc>
          <w:tcPr>
            <w:tcW w:w="0" w:type="auto"/>
            <w:shd w:val="clear" w:color="auto" w:fill="auto"/>
          </w:tcPr>
          <w:p w:rsidR="00A7606D" w:rsidRPr="00C478AF" w:rsidRDefault="00D14DA4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34468B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oblečie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pacientovi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neprem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okavú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zásteru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ochranu</w:t>
            </w:r>
            <w:r w:rsidR="00C478A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odevu.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12201B" w:rsidRPr="00C478AF" w:rsidRDefault="0012201B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zabezpečí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vhodnú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polohu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pacienta:</w:t>
            </w:r>
          </w:p>
          <w:p w:rsidR="0012201B" w:rsidRPr="00C478AF" w:rsidRDefault="0012201B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- pacienta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pri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vedomí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uloží do vysokej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Fowlerovej</w:t>
            </w:r>
            <w:proofErr w:type="spellEnd"/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polohy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posteli, alebo ho posadí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stoličku (poloha v</w:t>
            </w:r>
            <w:r w:rsidR="00416D56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sede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uľahčuje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pasáž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sondy),</w:t>
            </w:r>
          </w:p>
          <w:p w:rsidR="00851A3F" w:rsidRPr="00C478AF" w:rsidRDefault="0012201B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- pacienta v</w:t>
            </w:r>
            <w:r w:rsidR="00416D56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bezvedomí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uloží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ľavý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bok s</w:t>
            </w:r>
            <w:r w:rsidR="00416D56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pokrčenými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nohami a hlavou v</w:t>
            </w:r>
            <w:r w:rsidR="00416D56">
              <w:rPr>
                <w:rFonts w:asciiTheme="minorHAnsi" w:hAnsiTheme="minorHAnsi" w:cstheme="minorHAnsi"/>
                <w:lang w:val="sk-SK"/>
              </w:rPr>
              <w:t> 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Trendelenburgovej</w:t>
            </w:r>
            <w:proofErr w:type="spellEnd"/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polohe (táto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poloha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spomaľuje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tok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žalúdočného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obsahu do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duodéna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416D56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chráni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red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aspiráciou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počas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vracania)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určí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vzdialenosť, do akej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má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zaviesť (t. j. určenie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dĺžky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ušný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lalôčik – nos – spodný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okraj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sterna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>). Ak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nemá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značku, označí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túto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vzdialenosť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leukoplastom. Hrúbku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volí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čo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najhrubšiu, aby sa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cez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mohli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odviesť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nestrávené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zvyšky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potravy</w:t>
            </w:r>
          </w:p>
        </w:tc>
      </w:tr>
      <w:tr w:rsidR="008129D1" w:rsidRPr="00C478AF" w:rsidTr="000A4983">
        <w:tc>
          <w:tcPr>
            <w:tcW w:w="0" w:type="auto"/>
            <w:shd w:val="clear" w:color="auto" w:fill="auto"/>
          </w:tcPr>
          <w:p w:rsidR="008129D1" w:rsidRPr="00C478AF" w:rsidRDefault="008129D1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Pr="00C478AF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natrie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gélom, u pacienta v bezvedomí je potrebné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pred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zavedením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zaintubovať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 xml:space="preserve"> (</w:t>
            </w:r>
            <w:proofErr w:type="spellStart"/>
            <w:r w:rsidR="00851A3F" w:rsidRPr="00C478AF">
              <w:rPr>
                <w:rFonts w:asciiTheme="minorHAnsi" w:hAnsiTheme="minorHAnsi" w:cstheme="minorHAnsi"/>
                <w:lang w:val="sk-SK"/>
              </w:rPr>
              <w:t>intubáciu</w:t>
            </w:r>
            <w:proofErr w:type="spellEnd"/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vykoná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lekár)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zavádza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miernym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tlakom do nosa, alebo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úst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až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značku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sonde (nadmerná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sila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môže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spôsobiť</w:t>
            </w:r>
            <w:r w:rsidR="00416D56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epistaxu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poškodenie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tkaniva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počas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prechodu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cez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zadný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faryng</w:t>
            </w:r>
            <w:proofErr w:type="spellEnd"/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môže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byť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stimulované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zvracanie, pret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má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vždy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pripravenú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851A3F" w:rsidRPr="00C478AF">
              <w:rPr>
                <w:rFonts w:asciiTheme="minorHAnsi" w:hAnsiTheme="minorHAnsi" w:cstheme="minorHAnsi"/>
                <w:lang w:val="sk-SK"/>
              </w:rPr>
              <w:t>odsávačku</w:t>
            </w:r>
            <w:proofErr w:type="spellEnd"/>
            <w:r w:rsidR="00851A3F" w:rsidRPr="00C478AF">
              <w:rPr>
                <w:rFonts w:asciiTheme="minorHAnsi" w:hAnsiTheme="minorHAnsi" w:cstheme="minorHAnsi"/>
                <w:lang w:val="sk-SK"/>
              </w:rPr>
              <w:t>)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lang w:val="sk-SK"/>
              </w:rPr>
            </w:pPr>
            <w:r w:rsidRPr="00C478AF">
              <w:rPr>
                <w:lang w:val="sk-SK"/>
              </w:rPr>
              <w:t>P</w:t>
            </w:r>
            <w:r w:rsidR="008129D1" w:rsidRPr="00C478AF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851A3F" w:rsidRPr="00CF4FFC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F4FFC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požiada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pacienta, aby predklonil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hlavu a prehĺtal       (predklon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hlavy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uľahčuje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prechod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F4FFC">
              <w:rPr>
                <w:rFonts w:asciiTheme="minorHAnsi" w:hAnsiTheme="minorHAnsi" w:cstheme="minorHAnsi"/>
                <w:lang w:val="sk-SK"/>
              </w:rPr>
              <w:t>sondy zo zadného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F4FFC">
              <w:rPr>
                <w:rFonts w:asciiTheme="minorHAnsi" w:hAnsiTheme="minorHAnsi" w:cstheme="minorHAnsi"/>
                <w:lang w:val="sk-SK"/>
              </w:rPr>
              <w:t>faryngu</w:t>
            </w:r>
            <w:proofErr w:type="spellEnd"/>
            <w:r w:rsidRPr="00CF4FFC">
              <w:rPr>
                <w:rFonts w:asciiTheme="minorHAnsi" w:hAnsiTheme="minorHAnsi" w:cstheme="minorHAnsi"/>
                <w:lang w:val="sk-SK"/>
              </w:rPr>
              <w:t xml:space="preserve"> a </w:t>
            </w:r>
            <w:proofErr w:type="spellStart"/>
            <w:r w:rsidRPr="00CF4FFC">
              <w:rPr>
                <w:rFonts w:asciiTheme="minorHAnsi" w:hAnsiTheme="minorHAnsi" w:cstheme="minorHAnsi"/>
                <w:lang w:val="sk-SK"/>
              </w:rPr>
              <w:t>ezofágu</w:t>
            </w:r>
            <w:proofErr w:type="spellEnd"/>
            <w:r w:rsidRPr="00CF4FFC">
              <w:rPr>
                <w:rFonts w:asciiTheme="minorHAnsi" w:hAnsiTheme="minorHAnsi" w:cstheme="minorHAnsi"/>
                <w:lang w:val="sk-SK"/>
              </w:rPr>
              <w:t xml:space="preserve">, a nie do </w:t>
            </w:r>
            <w:proofErr w:type="spellStart"/>
            <w:r w:rsidRPr="00CF4FFC">
              <w:rPr>
                <w:rFonts w:asciiTheme="minorHAnsi" w:hAnsiTheme="minorHAnsi" w:cstheme="minorHAnsi"/>
                <w:lang w:val="sk-SK"/>
              </w:rPr>
              <w:t>laryngu</w:t>
            </w:r>
            <w:proofErr w:type="spellEnd"/>
            <w:r w:rsidRPr="00CF4FFC">
              <w:rPr>
                <w:rFonts w:asciiTheme="minorHAnsi" w:hAnsiTheme="minorHAnsi" w:cstheme="minorHAnsi"/>
                <w:lang w:val="sk-SK"/>
              </w:rPr>
              <w:t>)</w:t>
            </w:r>
          </w:p>
        </w:tc>
      </w:tr>
      <w:tr w:rsidR="00D4014C" w:rsidRPr="00C478AF" w:rsidTr="000A4983">
        <w:tc>
          <w:tcPr>
            <w:tcW w:w="0" w:type="auto"/>
            <w:shd w:val="clear" w:color="auto" w:fill="auto"/>
          </w:tcPr>
          <w:p w:rsidR="00D4014C" w:rsidRPr="00C478AF" w:rsidRDefault="00D4014C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</w:t>
            </w:r>
            <w:r w:rsidR="006E5DAA" w:rsidRPr="00C478AF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12201B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správne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umiestnenie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týmito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spôsobmi:</w:t>
            </w:r>
          </w:p>
          <w:p w:rsidR="0012201B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- aspiráciou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žalúdočného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obsahu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Jannetovou</w:t>
            </w:r>
            <w:proofErr w:type="spellEnd"/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striekačkou,</w:t>
            </w:r>
          </w:p>
          <w:p w:rsidR="0012201B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- ponorením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konca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sondy do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emitnej</w:t>
            </w:r>
            <w:proofErr w:type="spellEnd"/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misky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naplnenej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vodou (ak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prebubláva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>, sonda je zavedená do priedušiek),</w:t>
            </w:r>
          </w:p>
          <w:p w:rsidR="00851A3F" w:rsidRPr="00C478AF" w:rsidRDefault="0012201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- vpravením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vzduchu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Jannetovou</w:t>
            </w:r>
            <w:proofErr w:type="spellEnd"/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striekačkou do sondy (50ml)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priložením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fonendoskopu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oblasť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epigastria</w:t>
            </w:r>
            <w:proofErr w:type="spellEnd"/>
            <w:r w:rsidR="00851A3F" w:rsidRPr="00C478AF">
              <w:rPr>
                <w:rFonts w:asciiTheme="minorHAnsi" w:hAnsiTheme="minorHAnsi" w:cstheme="minorHAnsi"/>
                <w:lang w:val="sk-SK"/>
              </w:rPr>
              <w:t xml:space="preserve"> (počuje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krátke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bublanie)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P11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A615C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zaistí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leukoplastom, aby sa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počas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neposúvala, alebo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náustkom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proti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prehryznutiu, ak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zavádza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sonda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ústami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P12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A615C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odoberie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vzorku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žalúdočného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obsahu (30 -50ml) na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toxikologickú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lastRenderedPageBreak/>
              <w:t>analýzu (do uzatvárateľnej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sklen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enej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nádoby so širokým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hrdlom)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lastRenderedPageBreak/>
              <w:t>P13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A615CB" w:rsidP="00C478AF">
            <w:pPr>
              <w:spacing w:after="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napojí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lievik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žalúdočnú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sondu, pričom ho drží pod úrovňou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žalúdka a naplní ho vlažnou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pitnou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vodou (max. 5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00ml)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P14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A615C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zdvihne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naplnený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lievik do výšky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hlavy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nechá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vodu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voľne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stekať do žalúdka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P15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počas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instilácie</w:t>
            </w:r>
            <w:proofErr w:type="spellEnd"/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tekutiny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pozoruje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zdravotný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stav, ak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sa u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vyskytnú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príznaky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intolerancie (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tachykardia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>, zvracanie), musí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dočasne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zastaviť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reto, že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hrozí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riziko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aspirácie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P16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pozoruje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hladinu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vody v lieviku – keď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vode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začne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tvoriť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vír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lievik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sklopí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nad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C478AF">
              <w:rPr>
                <w:rFonts w:asciiTheme="minorHAnsi" w:hAnsiTheme="minorHAnsi" w:cstheme="minorHAnsi"/>
                <w:lang w:val="sk-SK"/>
              </w:rPr>
              <w:t>prázdne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vedro, aby do n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eho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mohol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vytekať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obsah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žalúdka</w:t>
            </w:r>
          </w:p>
        </w:tc>
      </w:tr>
      <w:tr w:rsidR="0034468B" w:rsidRPr="00C478AF" w:rsidTr="000A4983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P17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pozoruje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množstvo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obsah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vypú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šťanej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tekutiny</w:t>
            </w:r>
          </w:p>
        </w:tc>
      </w:tr>
      <w:tr w:rsidR="0034468B" w:rsidRPr="00C478AF" w:rsidTr="00CF4FFC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P18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vykonáva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vyplachovanie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žalúdka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dovtedy, kým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odsá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vaný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obsah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nie je číry (3 – 5l)</w:t>
            </w:r>
          </w:p>
        </w:tc>
      </w:tr>
      <w:tr w:rsidR="0034468B" w:rsidRPr="00C478AF" w:rsidTr="00CF4FFC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P19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požiada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pacienta, aby sa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nadýchol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zadržal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dych ( tým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uzatvorí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glotis</w:t>
            </w:r>
            <w:proofErr w:type="spellEnd"/>
            <w:r w:rsidRPr="00C478AF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zabráni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náhodnej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aspirácii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žalúdočného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obsahu) stlačí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dvoma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prstami, rýchlo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plynulo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ju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vyťahuje 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sú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časne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ju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utiera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buničitou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vatou</w:t>
            </w:r>
          </w:p>
        </w:tc>
      </w:tr>
      <w:tr w:rsidR="0034468B" w:rsidRPr="00C478AF" w:rsidTr="00CF4FFC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P20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utrie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pacientovi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vytiahnutí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sondy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ústa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buničitou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vatou, podá mu pohár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 xml:space="preserve">vody </w:t>
            </w:r>
            <w:r w:rsidR="00CF4FFC">
              <w:rPr>
                <w:rFonts w:asciiTheme="minorHAnsi" w:hAnsiTheme="minorHAnsi" w:cstheme="minorHAnsi"/>
                <w:lang w:val="sk-SK"/>
              </w:rPr>
              <w:t>n</w:t>
            </w:r>
            <w:r w:rsidRPr="00C478AF">
              <w:rPr>
                <w:rFonts w:asciiTheme="minorHAnsi" w:hAnsiTheme="minorHAnsi" w:cstheme="minorHAnsi"/>
                <w:lang w:val="sk-SK"/>
              </w:rPr>
              <w:t>a</w:t>
            </w:r>
            <w:r w:rsidR="00CF4FFC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vypláchnutie</w:t>
            </w:r>
            <w:r w:rsidR="00CF4FF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úst a 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vyzlečie mu nepremokavú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zásteru</w:t>
            </w:r>
          </w:p>
        </w:tc>
      </w:tr>
      <w:tr w:rsidR="0034468B" w:rsidRPr="00C478AF" w:rsidTr="00CF4FFC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P21</w:t>
            </w:r>
          </w:p>
        </w:tc>
        <w:tc>
          <w:tcPr>
            <w:tcW w:w="9702" w:type="dxa"/>
            <w:shd w:val="clear" w:color="auto" w:fill="auto"/>
          </w:tcPr>
          <w:p w:rsidR="00851A3F" w:rsidRPr="00C478AF" w:rsidRDefault="008966E5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sleduje u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vitálne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funkcie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počas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výplachu, ale aj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be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zprostredne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po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ňom</w:t>
            </w:r>
          </w:p>
        </w:tc>
      </w:tr>
      <w:tr w:rsidR="0034468B" w:rsidRPr="00C478AF" w:rsidTr="00CF4FFC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P22</w:t>
            </w:r>
          </w:p>
        </w:tc>
        <w:tc>
          <w:tcPr>
            <w:tcW w:w="9702" w:type="dxa"/>
            <w:shd w:val="clear" w:color="auto" w:fill="auto"/>
          </w:tcPr>
          <w:p w:rsidR="000A4983" w:rsidRPr="00C478AF" w:rsidRDefault="000A4983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zaznamená do dokumentácie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pacienta:</w:t>
            </w:r>
          </w:p>
          <w:p w:rsidR="000A4983" w:rsidRPr="00C478AF" w:rsidRDefault="000A4983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 xml:space="preserve">       - množstvo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použitej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lavážnej</w:t>
            </w:r>
            <w:proofErr w:type="spellEnd"/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tekutiny,</w:t>
            </w:r>
          </w:p>
          <w:p w:rsidR="000A4983" w:rsidRPr="00C478AF" w:rsidRDefault="000A4983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 xml:space="preserve">       - posúdenú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použitú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látku,</w:t>
            </w:r>
          </w:p>
          <w:p w:rsidR="000A4983" w:rsidRPr="00C478AF" w:rsidRDefault="000A4983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 xml:space="preserve">       -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instiláciu</w:t>
            </w:r>
            <w:proofErr w:type="spellEnd"/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živočíšneho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uhlia, prípadne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preháňadiel,</w:t>
            </w:r>
          </w:p>
          <w:p w:rsidR="00851A3F" w:rsidRPr="00C478AF" w:rsidRDefault="00851A3F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 xml:space="preserve">      - celkový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stav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</w:t>
            </w:r>
          </w:p>
        </w:tc>
      </w:tr>
      <w:tr w:rsidR="0034468B" w:rsidRPr="00C478AF" w:rsidTr="00CF4FFC">
        <w:tc>
          <w:tcPr>
            <w:tcW w:w="0" w:type="auto"/>
            <w:shd w:val="clear" w:color="auto" w:fill="auto"/>
          </w:tcPr>
          <w:p w:rsidR="0034468B" w:rsidRPr="00C478AF" w:rsidRDefault="0034468B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P23</w:t>
            </w:r>
          </w:p>
        </w:tc>
        <w:tc>
          <w:tcPr>
            <w:tcW w:w="9702" w:type="dxa"/>
            <w:shd w:val="clear" w:color="auto" w:fill="auto"/>
          </w:tcPr>
          <w:p w:rsidR="0034468B" w:rsidRPr="00C478AF" w:rsidRDefault="000A4983" w:rsidP="00C478AF">
            <w:pPr>
              <w:spacing w:after="0" w:line="240" w:lineRule="auto"/>
              <w:rPr>
                <w:rFonts w:asciiTheme="minorHAnsi" w:hAnsiTheme="minorHAnsi" w:cstheme="minorHAnsi"/>
                <w:b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Žiak pod vedením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odbornej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učiteľky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zabezpečí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C478AF">
              <w:rPr>
                <w:rFonts w:asciiTheme="minorHAnsi" w:hAnsiTheme="minorHAnsi" w:cstheme="minorHAnsi"/>
                <w:lang w:val="sk-SK"/>
              </w:rPr>
              <w:t>dekontamináciu</w:t>
            </w:r>
            <w:proofErr w:type="spellEnd"/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a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uloženie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použitých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pomôcok.</w:t>
            </w:r>
          </w:p>
        </w:tc>
      </w:tr>
    </w:tbl>
    <w:p w:rsidR="0034468B" w:rsidRPr="00C478AF" w:rsidRDefault="0034468B" w:rsidP="00C478AF">
      <w:pPr>
        <w:spacing w:after="0"/>
        <w:rPr>
          <w:rFonts w:asciiTheme="minorHAnsi" w:hAnsiTheme="minorHAnsi" w:cstheme="minorHAnsi"/>
          <w:b/>
          <w:lang w:val="sk-SK"/>
        </w:rPr>
      </w:pPr>
    </w:p>
    <w:p w:rsidR="00EF1814" w:rsidRPr="00C478AF" w:rsidRDefault="00447441" w:rsidP="00C478AF">
      <w:pPr>
        <w:spacing w:after="0"/>
        <w:rPr>
          <w:rFonts w:asciiTheme="minorHAnsi" w:hAnsiTheme="minorHAnsi" w:cstheme="minorHAnsi"/>
          <w:b/>
          <w:lang w:val="sk-SK"/>
        </w:rPr>
      </w:pPr>
      <w:r w:rsidRPr="00C478AF">
        <w:rPr>
          <w:rFonts w:asciiTheme="minorHAnsi" w:hAnsiTheme="minorHAnsi" w:cstheme="minorHAnsi"/>
          <w:b/>
          <w:lang w:val="sk-SK"/>
        </w:rPr>
        <w:t>K</w:t>
      </w:r>
      <w:r w:rsidR="00EF1814" w:rsidRPr="00C478AF">
        <w:rPr>
          <w:rFonts w:asciiTheme="minorHAnsi" w:hAnsiTheme="minorHAnsi" w:cstheme="minorHAnsi"/>
          <w:b/>
          <w:lang w:val="sk-SK"/>
        </w:rPr>
        <w:t>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772"/>
      </w:tblGrid>
      <w:tr w:rsidR="00EF1814" w:rsidRPr="00C478AF" w:rsidTr="00447441">
        <w:tc>
          <w:tcPr>
            <w:tcW w:w="0" w:type="auto"/>
            <w:shd w:val="clear" w:color="auto" w:fill="auto"/>
          </w:tcPr>
          <w:p w:rsidR="00EF1814" w:rsidRPr="00C478AF" w:rsidRDefault="00EF1814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V1</w:t>
            </w:r>
          </w:p>
        </w:tc>
        <w:tc>
          <w:tcPr>
            <w:tcW w:w="9772" w:type="dxa"/>
            <w:shd w:val="clear" w:color="auto" w:fill="auto"/>
          </w:tcPr>
          <w:p w:rsidR="00851A3F" w:rsidRPr="00C478AF" w:rsidRDefault="00447441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Pacient (ak je pri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vedomí) je oboznámení s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dôvodom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výplachu, s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postupom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zavádzan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ia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sondy a s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priebehom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výplachu</w:t>
            </w:r>
          </w:p>
        </w:tc>
      </w:tr>
      <w:tr w:rsidR="00EF1814" w:rsidRPr="00C478AF" w:rsidTr="00447441">
        <w:tc>
          <w:tcPr>
            <w:tcW w:w="0" w:type="auto"/>
            <w:shd w:val="clear" w:color="auto" w:fill="auto"/>
          </w:tcPr>
          <w:p w:rsidR="00EF1814" w:rsidRPr="00C478AF" w:rsidRDefault="00EF1814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V</w:t>
            </w:r>
            <w:r w:rsidR="006E5DAA" w:rsidRPr="00C478AF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772" w:type="dxa"/>
            <w:shd w:val="clear" w:color="auto" w:fill="auto"/>
          </w:tcPr>
          <w:p w:rsidR="00851A3F" w:rsidRPr="00C478AF" w:rsidRDefault="00447441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Pacient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má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počas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výkonu a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po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výkone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sledovaný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zdravotný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stav a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Pr="00C478AF">
              <w:rPr>
                <w:rFonts w:asciiTheme="minorHAnsi" w:hAnsiTheme="minorHAnsi" w:cstheme="minorHAnsi"/>
                <w:lang w:val="sk-SK"/>
              </w:rPr>
              <w:t>vitálne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funkcie</w:t>
            </w:r>
          </w:p>
        </w:tc>
      </w:tr>
      <w:tr w:rsidR="00EF1814" w:rsidRPr="00C478AF" w:rsidTr="00447441">
        <w:tc>
          <w:tcPr>
            <w:tcW w:w="0" w:type="auto"/>
            <w:shd w:val="clear" w:color="auto" w:fill="auto"/>
          </w:tcPr>
          <w:p w:rsidR="00EF1814" w:rsidRPr="00C478AF" w:rsidRDefault="00EF1814" w:rsidP="00C478A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V</w:t>
            </w:r>
            <w:r w:rsidR="006E5DAA" w:rsidRPr="00C478AF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772" w:type="dxa"/>
            <w:shd w:val="clear" w:color="auto" w:fill="auto"/>
          </w:tcPr>
          <w:p w:rsidR="00851A3F" w:rsidRPr="00C478AF" w:rsidRDefault="00447441" w:rsidP="00C478AF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lang w:val="sk-SK"/>
              </w:rPr>
            </w:pPr>
            <w:r w:rsidRPr="00C478AF">
              <w:rPr>
                <w:rFonts w:asciiTheme="minorHAnsi" w:hAnsiTheme="minorHAnsi" w:cstheme="minorHAnsi"/>
                <w:lang w:val="sk-SK"/>
              </w:rPr>
              <w:t>V dokumentácii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C478AF">
              <w:rPr>
                <w:rFonts w:asciiTheme="minorHAnsi" w:hAnsiTheme="minorHAnsi" w:cstheme="minorHAnsi"/>
                <w:lang w:val="sk-SK"/>
              </w:rPr>
              <w:t>pacienta je uro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bený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záznam  o</w:t>
            </w:r>
            <w:r w:rsidR="00CC3EC4">
              <w:rPr>
                <w:rFonts w:asciiTheme="minorHAnsi" w:hAnsiTheme="minorHAnsi" w:cstheme="minorHAnsi"/>
                <w:lang w:val="sk-SK"/>
              </w:rPr>
              <w:t> 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výplachu</w:t>
            </w:r>
            <w:r w:rsidR="00CC3EC4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851A3F" w:rsidRPr="00C478AF">
              <w:rPr>
                <w:rFonts w:asciiTheme="minorHAnsi" w:hAnsiTheme="minorHAnsi" w:cstheme="minorHAnsi"/>
                <w:lang w:val="sk-SK"/>
              </w:rPr>
              <w:t>žalúdka</w:t>
            </w:r>
          </w:p>
        </w:tc>
      </w:tr>
    </w:tbl>
    <w:p w:rsidR="007A0678" w:rsidRPr="00C478AF" w:rsidRDefault="007A0678" w:rsidP="00C478AF">
      <w:pPr>
        <w:tabs>
          <w:tab w:val="left" w:pos="1995"/>
        </w:tabs>
        <w:rPr>
          <w:lang w:val="sk-SK"/>
        </w:rPr>
      </w:pPr>
      <w:bookmarkStart w:id="0" w:name="_GoBack"/>
      <w:bookmarkEnd w:id="0"/>
    </w:p>
    <w:p w:rsidR="00641329" w:rsidRPr="00C478AF" w:rsidRDefault="00641329" w:rsidP="006413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proofErr w:type="spellStart"/>
      <w:r w:rsidRPr="00C478AF">
        <w:rPr>
          <w:rFonts w:ascii="Times New Roman" w:hAnsi="Times New Roman"/>
          <w:b/>
          <w:sz w:val="24"/>
          <w:szCs w:val="24"/>
          <w:lang w:val="sk-SK"/>
        </w:rPr>
        <w:t>Pomôckynavýplachžalúdka</w:t>
      </w:r>
      <w:proofErr w:type="spellEnd"/>
      <w:r w:rsidRPr="00C478AF"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641329" w:rsidRDefault="00641329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k-SK"/>
        </w:rPr>
      </w:pPr>
    </w:p>
    <w:p w:rsidR="00C478AF" w:rsidRPr="00C478AF" w:rsidRDefault="00C478AF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k-SK"/>
        </w:rPr>
      </w:pPr>
    </w:p>
    <w:p w:rsidR="00641329" w:rsidRDefault="00641329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33D14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5200650" cy="2514600"/>
            <wp:effectExtent l="0" t="0" r="0" b="0"/>
            <wp:docPr id="2" name="Obrázok 2" descr="247-228x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7-228x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29" w:rsidRDefault="00641329" w:rsidP="006413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8AF" w:rsidRDefault="00C478AF" w:rsidP="006413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78AF" w:rsidRPr="006D56B6" w:rsidRDefault="00C478AF" w:rsidP="006413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1329" w:rsidRPr="001D4AC6" w:rsidRDefault="00641329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D4AC6">
        <w:rPr>
          <w:rFonts w:ascii="Times New Roman" w:hAnsi="Times New Roman"/>
          <w:b/>
          <w:sz w:val="24"/>
          <w:szCs w:val="24"/>
        </w:rPr>
        <w:lastRenderedPageBreak/>
        <w:t>Výplachžalúdka</w:t>
      </w:r>
      <w:proofErr w:type="spellEnd"/>
      <w:r w:rsidRPr="001D4AC6">
        <w:rPr>
          <w:rFonts w:ascii="Times New Roman" w:hAnsi="Times New Roman"/>
          <w:b/>
          <w:sz w:val="24"/>
          <w:szCs w:val="24"/>
        </w:rPr>
        <w:t>:</w:t>
      </w:r>
    </w:p>
    <w:p w:rsidR="00641329" w:rsidRDefault="00641329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329" w:rsidRDefault="00641329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329" w:rsidRDefault="00641329" w:rsidP="0064132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4409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5915025" cy="3343275"/>
            <wp:effectExtent l="0" t="0" r="9525" b="9525"/>
            <wp:docPr id="1" name="Obrázok 1" descr="442318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2318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329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C55"/>
    <w:multiLevelType w:val="hybridMultilevel"/>
    <w:tmpl w:val="B91C0DB6"/>
    <w:lvl w:ilvl="0" w:tplc="F7984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hyphenationZone w:val="425"/>
  <w:characterSpacingControl w:val="doNotCompress"/>
  <w:compat/>
  <w:rsids>
    <w:rsidRoot w:val="0054718C"/>
    <w:rsid w:val="00023782"/>
    <w:rsid w:val="000A3FB1"/>
    <w:rsid w:val="000A4983"/>
    <w:rsid w:val="000D6421"/>
    <w:rsid w:val="000E21BB"/>
    <w:rsid w:val="000E58B4"/>
    <w:rsid w:val="00110659"/>
    <w:rsid w:val="00116469"/>
    <w:rsid w:val="0012201B"/>
    <w:rsid w:val="00134D90"/>
    <w:rsid w:val="00153143"/>
    <w:rsid w:val="0016080C"/>
    <w:rsid w:val="0018590B"/>
    <w:rsid w:val="001951BB"/>
    <w:rsid w:val="001956DB"/>
    <w:rsid w:val="001A5FD5"/>
    <w:rsid w:val="001B1E8C"/>
    <w:rsid w:val="001D4AC6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4468B"/>
    <w:rsid w:val="00371D43"/>
    <w:rsid w:val="003878CF"/>
    <w:rsid w:val="003A2AAA"/>
    <w:rsid w:val="003F3EC8"/>
    <w:rsid w:val="003F64F2"/>
    <w:rsid w:val="003F69B3"/>
    <w:rsid w:val="00416D56"/>
    <w:rsid w:val="0042271D"/>
    <w:rsid w:val="004465AB"/>
    <w:rsid w:val="00447441"/>
    <w:rsid w:val="00473BA7"/>
    <w:rsid w:val="004C6B17"/>
    <w:rsid w:val="004F1AFB"/>
    <w:rsid w:val="00535042"/>
    <w:rsid w:val="0054718C"/>
    <w:rsid w:val="00590A64"/>
    <w:rsid w:val="005B2CBC"/>
    <w:rsid w:val="005C0958"/>
    <w:rsid w:val="005C7D30"/>
    <w:rsid w:val="00641329"/>
    <w:rsid w:val="00643358"/>
    <w:rsid w:val="006437D8"/>
    <w:rsid w:val="00653F62"/>
    <w:rsid w:val="00654BC6"/>
    <w:rsid w:val="00664534"/>
    <w:rsid w:val="006E5DAA"/>
    <w:rsid w:val="00763EC6"/>
    <w:rsid w:val="0077727C"/>
    <w:rsid w:val="007A0678"/>
    <w:rsid w:val="007A1E76"/>
    <w:rsid w:val="007D09EE"/>
    <w:rsid w:val="007D5B3A"/>
    <w:rsid w:val="008129D1"/>
    <w:rsid w:val="00851A3F"/>
    <w:rsid w:val="00862E95"/>
    <w:rsid w:val="00874147"/>
    <w:rsid w:val="008828CB"/>
    <w:rsid w:val="008966E5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15CB"/>
    <w:rsid w:val="00A64248"/>
    <w:rsid w:val="00A647E3"/>
    <w:rsid w:val="00A66384"/>
    <w:rsid w:val="00A7606D"/>
    <w:rsid w:val="00A84BE3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8AF"/>
    <w:rsid w:val="00C47910"/>
    <w:rsid w:val="00C63096"/>
    <w:rsid w:val="00C64D67"/>
    <w:rsid w:val="00CA77BD"/>
    <w:rsid w:val="00CA7B7B"/>
    <w:rsid w:val="00CC3EC4"/>
    <w:rsid w:val="00CF4FFC"/>
    <w:rsid w:val="00CF504A"/>
    <w:rsid w:val="00D115E7"/>
    <w:rsid w:val="00D14DA4"/>
    <w:rsid w:val="00D315C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2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8A2D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8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36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5</cp:revision>
  <dcterms:created xsi:type="dcterms:W3CDTF">2019-09-02T18:03:00Z</dcterms:created>
  <dcterms:modified xsi:type="dcterms:W3CDTF">2019-09-07T15:22:00Z</dcterms:modified>
</cp:coreProperties>
</file>