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7704"/>
      </w:tblGrid>
      <w:tr w:rsidR="00F21921" w:rsidRPr="009D0AE2" w:rsidTr="00994E0B">
        <w:tc>
          <w:tcPr>
            <w:tcW w:w="10314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9D0AE2" w:rsidTr="002121FE">
        <w:tc>
          <w:tcPr>
            <w:tcW w:w="0" w:type="auto"/>
            <w:shd w:val="clear" w:color="auto" w:fill="auto"/>
          </w:tcPr>
          <w:p w:rsidR="00F21921" w:rsidRPr="002121FE" w:rsidRDefault="00F21921" w:rsidP="00F21921">
            <w:pPr>
              <w:spacing w:after="0" w:line="240" w:lineRule="auto"/>
              <w:rPr>
                <w:sz w:val="28"/>
                <w:szCs w:val="28"/>
                <w:lang w:val="sk-SK"/>
              </w:rPr>
            </w:pPr>
            <w:r w:rsidRPr="002121FE">
              <w:rPr>
                <w:sz w:val="28"/>
                <w:szCs w:val="28"/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F21921" w:rsidRPr="002121FE" w:rsidRDefault="007A6083" w:rsidP="002121FE">
            <w:pPr>
              <w:spacing w:after="0" w:line="240" w:lineRule="auto"/>
              <w:jc w:val="center"/>
              <w:rPr>
                <w:sz w:val="28"/>
                <w:szCs w:val="28"/>
                <w:lang w:val="sk-SK"/>
              </w:rPr>
            </w:pPr>
            <w:r w:rsidRPr="002121FE">
              <w:rPr>
                <w:rFonts w:asciiTheme="minorHAnsi" w:hAnsiTheme="minorHAnsi" w:cstheme="minorHAnsi"/>
                <w:b/>
                <w:sz w:val="28"/>
                <w:szCs w:val="28"/>
              </w:rPr>
              <w:t>ETAPOVITÝ ODBER ŽALÚDOČNEJ A DVANÁSTNIKOVEJ ŠŤAVY</w:t>
            </w:r>
          </w:p>
        </w:tc>
      </w:tr>
    </w:tbl>
    <w:p w:rsidR="00E624C3" w:rsidRPr="00B54964" w:rsidRDefault="00E624C3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733"/>
      </w:tblGrid>
      <w:tr w:rsidR="00E624C3" w:rsidRPr="002121FE" w:rsidTr="009D0AE2">
        <w:tc>
          <w:tcPr>
            <w:tcW w:w="0" w:type="auto"/>
            <w:shd w:val="clear" w:color="auto" w:fill="auto"/>
          </w:tcPr>
          <w:p w:rsidR="00E624C3" w:rsidRPr="002121FE" w:rsidRDefault="00E624C3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Charakteristika štandardu</w:t>
            </w:r>
            <w:r w:rsidR="008A2D80" w:rsidRPr="002121FE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2121FE" w:rsidRDefault="00134D90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výukový</w:t>
            </w:r>
            <w:r w:rsidR="002121FE" w:rsidRP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A2582F" w:rsidRPr="002121FE">
              <w:rPr>
                <w:rFonts w:asciiTheme="minorHAnsi" w:hAnsiTheme="minorHAnsi" w:cstheme="minorHAnsi"/>
                <w:lang w:val="sk-SK"/>
              </w:rPr>
              <w:t>štandard výkonu</w:t>
            </w:r>
          </w:p>
        </w:tc>
      </w:tr>
      <w:tr w:rsidR="00E624C3" w:rsidRPr="002121FE" w:rsidTr="009D0AE2">
        <w:tc>
          <w:tcPr>
            <w:tcW w:w="0" w:type="auto"/>
            <w:shd w:val="clear" w:color="auto" w:fill="auto"/>
          </w:tcPr>
          <w:p w:rsidR="00E624C3" w:rsidRPr="002121FE" w:rsidRDefault="00E624C3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Cieľ</w:t>
            </w:r>
            <w:r w:rsidR="008A2D80" w:rsidRPr="002121FE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7A6083" w:rsidRPr="002121FE" w:rsidRDefault="007A6083" w:rsidP="002121FE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diagnostický: odobrať</w:t>
            </w:r>
            <w:r w:rsidR="002121FE" w:rsidRP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žalúdočnú a dvanástnikovú</w:t>
            </w:r>
            <w:r w:rsidR="002121FE" w:rsidRP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šťavu</w:t>
            </w:r>
            <w:r w:rsidR="002121FE" w:rsidRP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na</w:t>
            </w:r>
            <w:r w:rsidR="002121FE" w:rsidRP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biochemické, mikrobiologické, mikroskopické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vyšetrenie, parazitologické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vyšetrenie</w:t>
            </w:r>
          </w:p>
        </w:tc>
      </w:tr>
      <w:tr w:rsidR="00E624C3" w:rsidRPr="002121FE" w:rsidTr="009D0AE2">
        <w:tc>
          <w:tcPr>
            <w:tcW w:w="0" w:type="auto"/>
            <w:shd w:val="clear" w:color="auto" w:fill="auto"/>
          </w:tcPr>
          <w:p w:rsidR="00E624C3" w:rsidRPr="002121FE" w:rsidRDefault="00E624C3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Skupina starostlivosti</w:t>
            </w:r>
            <w:r w:rsidR="008A2D80" w:rsidRPr="002121FE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2121FE" w:rsidRDefault="007A6083" w:rsidP="002121FE">
            <w:pPr>
              <w:pStyle w:val="Odsekzoznamu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pacienti s indikáciou k</w:t>
            </w:r>
            <w:r w:rsidR="002121FE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odberu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žalúdočnej a</w:t>
            </w:r>
            <w:r w:rsidR="002121FE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dvanástnikovej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šťavy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posúdenie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sekrečnej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činnosti (vredová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choroba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žalúdka a dvanástnika).</w:t>
            </w:r>
          </w:p>
        </w:tc>
      </w:tr>
    </w:tbl>
    <w:p w:rsidR="00DA37C3" w:rsidRPr="002121FE" w:rsidRDefault="00DA37C3" w:rsidP="00EA0C31">
      <w:pPr>
        <w:spacing w:after="0"/>
        <w:rPr>
          <w:rFonts w:asciiTheme="minorHAnsi" w:hAnsiTheme="minorHAnsi" w:cstheme="minorHAnsi"/>
          <w:lang w:val="sk-SK"/>
        </w:rPr>
      </w:pPr>
    </w:p>
    <w:p w:rsidR="00D4014C" w:rsidRPr="002121FE" w:rsidRDefault="00D4014C" w:rsidP="00EA0C31">
      <w:pPr>
        <w:spacing w:after="0"/>
        <w:rPr>
          <w:rFonts w:asciiTheme="minorHAnsi" w:hAnsiTheme="minorHAnsi" w:cstheme="minorHAnsi"/>
          <w:b/>
          <w:lang w:val="sk-SK"/>
        </w:rPr>
      </w:pPr>
      <w:r w:rsidRPr="002121FE">
        <w:rPr>
          <w:rFonts w:asciiTheme="minorHAnsi" w:hAnsiTheme="minorHAnsi" w:cstheme="minorHAnsi"/>
          <w:b/>
          <w:lang w:val="sk-SK"/>
        </w:rPr>
        <w:t>Kritéria štruktúry</w:t>
      </w:r>
    </w:p>
    <w:p w:rsidR="00DA37C3" w:rsidRPr="002121FE" w:rsidRDefault="00DA37C3" w:rsidP="00EA0C31">
      <w:pPr>
        <w:spacing w:after="0"/>
        <w:rPr>
          <w:rFonts w:asciiTheme="minorHAnsi" w:hAnsiTheme="minorHAnsi" w:cstheme="minorHAnsi"/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1571"/>
        <w:gridCol w:w="8344"/>
      </w:tblGrid>
      <w:tr w:rsidR="009D0AE2" w:rsidRPr="002121FE" w:rsidTr="009D0AE2">
        <w:tc>
          <w:tcPr>
            <w:tcW w:w="0" w:type="auto"/>
            <w:shd w:val="clear" w:color="auto" w:fill="auto"/>
          </w:tcPr>
          <w:p w:rsidR="007A1E76" w:rsidRPr="002121FE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Š1</w:t>
            </w:r>
          </w:p>
        </w:tc>
        <w:tc>
          <w:tcPr>
            <w:tcW w:w="1571" w:type="dxa"/>
            <w:shd w:val="clear" w:color="auto" w:fill="auto"/>
          </w:tcPr>
          <w:p w:rsidR="007A1E76" w:rsidRPr="002121FE" w:rsidRDefault="008A2D80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</w:t>
            </w:r>
            <w:r w:rsidR="00BB7802" w:rsidRPr="002121FE">
              <w:rPr>
                <w:rFonts w:asciiTheme="minorHAnsi" w:hAnsiTheme="minorHAnsi" w:cstheme="minorHAnsi"/>
                <w:lang w:val="sk-SK"/>
              </w:rPr>
              <w:t>racovníci</w:t>
            </w:r>
            <w:r w:rsidRPr="002121FE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1B43F2" w:rsidRPr="002121FE" w:rsidRDefault="001B43F2" w:rsidP="002121FE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sestra, praktická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sestra</w:t>
            </w:r>
          </w:p>
        </w:tc>
      </w:tr>
      <w:tr w:rsidR="009D0AE2" w:rsidRPr="002121FE" w:rsidTr="009D0AE2">
        <w:tc>
          <w:tcPr>
            <w:tcW w:w="0" w:type="auto"/>
            <w:shd w:val="clear" w:color="auto" w:fill="auto"/>
          </w:tcPr>
          <w:p w:rsidR="00D4014C" w:rsidRPr="002121FE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Š2</w:t>
            </w:r>
          </w:p>
        </w:tc>
        <w:tc>
          <w:tcPr>
            <w:tcW w:w="1571" w:type="dxa"/>
            <w:shd w:val="clear" w:color="auto" w:fill="auto"/>
          </w:tcPr>
          <w:p w:rsidR="00D4014C" w:rsidRPr="002121FE" w:rsidRDefault="008A2D80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</w:t>
            </w:r>
            <w:r w:rsidR="00BB7802" w:rsidRPr="002121FE">
              <w:rPr>
                <w:rFonts w:asciiTheme="minorHAnsi" w:hAnsiTheme="minorHAnsi" w:cstheme="minorHAnsi"/>
                <w:lang w:val="sk-SK"/>
              </w:rPr>
              <w:t>rostredie</w:t>
            </w:r>
            <w:r w:rsidRPr="002121FE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2121FE" w:rsidRDefault="001B43F2" w:rsidP="002121FE">
            <w:pPr>
              <w:pStyle w:val="Odsekzoznamu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odborné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učebne, zdravotnícke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zariadenie</w:t>
            </w:r>
          </w:p>
        </w:tc>
      </w:tr>
      <w:tr w:rsidR="009D0AE2" w:rsidRPr="002121FE" w:rsidTr="009D0AE2">
        <w:tc>
          <w:tcPr>
            <w:tcW w:w="0" w:type="auto"/>
            <w:shd w:val="clear" w:color="auto" w:fill="auto"/>
          </w:tcPr>
          <w:p w:rsidR="00D4014C" w:rsidRPr="002121FE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Š3</w:t>
            </w:r>
          </w:p>
        </w:tc>
        <w:tc>
          <w:tcPr>
            <w:tcW w:w="1571" w:type="dxa"/>
            <w:shd w:val="clear" w:color="auto" w:fill="auto"/>
          </w:tcPr>
          <w:p w:rsidR="00D4014C" w:rsidRPr="002121FE" w:rsidRDefault="008A2D80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</w:t>
            </w:r>
            <w:r w:rsidR="00BB7802" w:rsidRPr="002121FE">
              <w:rPr>
                <w:rFonts w:asciiTheme="minorHAnsi" w:hAnsiTheme="minorHAnsi" w:cstheme="minorHAnsi"/>
                <w:lang w:val="sk-SK"/>
              </w:rPr>
              <w:t>omôcky</w:t>
            </w:r>
            <w:r w:rsidRPr="002121FE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9D0AE2" w:rsidRPr="002121FE" w:rsidRDefault="001B43F2" w:rsidP="002121FE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Einhornova</w:t>
            </w:r>
            <w:proofErr w:type="spellEnd"/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sonda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dlhá 1,5 m a hrubá 3 - 4 mm (sonda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má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na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konci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kovovú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olivku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alebo 4 bočné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 xml:space="preserve">otvory),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lubrikačný</w:t>
            </w:r>
            <w:proofErr w:type="spellEnd"/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gél, rukavice, ústne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drevené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lopatky, 1 nesterilný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peán</w:t>
            </w:r>
            <w:proofErr w:type="spellEnd"/>
            <w:r w:rsidRPr="002121FE">
              <w:rPr>
                <w:rFonts w:asciiTheme="minorHAnsi" w:hAnsiTheme="minorHAnsi" w:cstheme="minorHAnsi"/>
                <w:lang w:val="sk-SK"/>
              </w:rPr>
              <w:t>, náplasť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uterák</w:t>
            </w:r>
            <w:r w:rsidR="002121FE">
              <w:rPr>
                <w:rFonts w:asciiTheme="minorHAnsi" w:hAnsiTheme="minorHAnsi" w:cstheme="minorHAnsi"/>
                <w:lang w:val="sk-SK"/>
              </w:rPr>
              <w:t>, gume</w:t>
            </w:r>
            <w:r w:rsidRPr="002121FE">
              <w:rPr>
                <w:rFonts w:asciiTheme="minorHAnsi" w:hAnsiTheme="minorHAnsi" w:cstheme="minorHAnsi"/>
                <w:lang w:val="sk-SK"/>
              </w:rPr>
              <w:t>ná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podložka, pohár s vodou, stimulačné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látky (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pentagastrín</w:t>
            </w:r>
            <w:proofErr w:type="spellEnd"/>
            <w:r w:rsidRPr="002121FE">
              <w:rPr>
                <w:rFonts w:asciiTheme="minorHAnsi" w:hAnsiTheme="minorHAnsi" w:cstheme="minorHAnsi"/>
                <w:lang w:val="sk-SK"/>
              </w:rPr>
              <w:t xml:space="preserve">,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gastrozepín</w:t>
            </w:r>
            <w:proofErr w:type="spellEnd"/>
            <w:r w:rsidRPr="002121FE">
              <w:rPr>
                <w:rFonts w:asciiTheme="minorHAnsi" w:hAnsiTheme="minorHAnsi" w:cstheme="minorHAnsi"/>
                <w:lang w:val="sk-SK"/>
              </w:rPr>
              <w:t xml:space="preserve">,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sekretín</w:t>
            </w:r>
            <w:proofErr w:type="spellEnd"/>
            <w:r w:rsidRPr="002121FE">
              <w:rPr>
                <w:rFonts w:asciiTheme="minorHAnsi" w:hAnsiTheme="minorHAnsi" w:cstheme="minorHAnsi"/>
                <w:lang w:val="sk-SK"/>
              </w:rPr>
              <w:t>), pomôcky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na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aplikáciu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injekcií, niekoľko 20ml striekačiek, buničitá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 xml:space="preserve">vata,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emitné</w:t>
            </w:r>
            <w:proofErr w:type="spellEnd"/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misky, vypísaná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žiadanka, označené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skúmavky, stojan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podľa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typu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vyšetrenia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vodný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kúpeľ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alebo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ľadová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 xml:space="preserve">drvina,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protišokové</w:t>
            </w:r>
            <w:proofErr w:type="spellEnd"/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lieky.</w:t>
            </w:r>
          </w:p>
        </w:tc>
      </w:tr>
      <w:tr w:rsidR="009D0AE2" w:rsidRPr="002121FE" w:rsidTr="009D0AE2">
        <w:tc>
          <w:tcPr>
            <w:tcW w:w="0" w:type="auto"/>
            <w:shd w:val="clear" w:color="auto" w:fill="auto"/>
          </w:tcPr>
          <w:p w:rsidR="00D4014C" w:rsidRPr="002121FE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Š4</w:t>
            </w:r>
          </w:p>
        </w:tc>
        <w:tc>
          <w:tcPr>
            <w:tcW w:w="1571" w:type="dxa"/>
            <w:shd w:val="clear" w:color="auto" w:fill="auto"/>
          </w:tcPr>
          <w:p w:rsidR="00D4014C" w:rsidRPr="002121FE" w:rsidRDefault="008A2D80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D</w:t>
            </w:r>
            <w:r w:rsidR="00BB7802" w:rsidRPr="002121FE">
              <w:rPr>
                <w:rFonts w:asciiTheme="minorHAnsi" w:hAnsiTheme="minorHAnsi" w:cstheme="minorHAnsi"/>
                <w:lang w:val="sk-SK"/>
              </w:rPr>
              <w:t>okumentácia</w:t>
            </w:r>
            <w:r w:rsidRPr="002121FE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1B43F2" w:rsidRPr="002121FE" w:rsidRDefault="001B43F2" w:rsidP="002121FE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zdravotná/ošetrovateľská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dokumentácia</w:t>
            </w:r>
          </w:p>
        </w:tc>
      </w:tr>
    </w:tbl>
    <w:p w:rsidR="00DA37C3" w:rsidRPr="002121FE" w:rsidRDefault="00DA37C3" w:rsidP="00EA0C31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1A5FD5" w:rsidRPr="002121FE" w:rsidRDefault="00D4014C" w:rsidP="00DA37C3">
      <w:pPr>
        <w:tabs>
          <w:tab w:val="left" w:pos="1935"/>
        </w:tabs>
        <w:spacing w:after="0" w:line="240" w:lineRule="auto"/>
        <w:rPr>
          <w:rFonts w:asciiTheme="minorHAnsi" w:hAnsiTheme="minorHAnsi" w:cstheme="minorHAnsi"/>
          <w:b/>
          <w:lang w:val="sk-SK"/>
        </w:rPr>
      </w:pPr>
      <w:r w:rsidRPr="002121FE">
        <w:rPr>
          <w:rFonts w:asciiTheme="minorHAnsi" w:hAnsiTheme="minorHAnsi" w:cstheme="minorHAnsi"/>
          <w:b/>
          <w:lang w:val="sk-SK"/>
        </w:rPr>
        <w:t>Kritéria procesu</w:t>
      </w:r>
      <w:r w:rsidR="00DA37C3" w:rsidRPr="002121FE">
        <w:rPr>
          <w:rFonts w:asciiTheme="minorHAnsi" w:hAnsiTheme="minorHAnsi" w:cstheme="minorHAnsi"/>
          <w:b/>
          <w:lang w:val="sk-SK"/>
        </w:rPr>
        <w:tab/>
      </w:r>
    </w:p>
    <w:p w:rsidR="00DA37C3" w:rsidRPr="002121FE" w:rsidRDefault="00DA37C3" w:rsidP="00DA37C3">
      <w:pPr>
        <w:tabs>
          <w:tab w:val="left" w:pos="1935"/>
        </w:tabs>
        <w:spacing w:after="0" w:line="240" w:lineRule="auto"/>
        <w:rPr>
          <w:rFonts w:asciiTheme="minorHAnsi" w:hAnsiTheme="minorHAnsi" w:cstheme="minorHAnsi"/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9641"/>
      </w:tblGrid>
      <w:tr w:rsidR="00CA7B7B" w:rsidRPr="002121FE" w:rsidTr="001B43F2">
        <w:tc>
          <w:tcPr>
            <w:tcW w:w="0" w:type="auto"/>
            <w:shd w:val="clear" w:color="auto" w:fill="auto"/>
          </w:tcPr>
          <w:p w:rsidR="00CA7B7B" w:rsidRPr="002121FE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P1</w:t>
            </w:r>
          </w:p>
        </w:tc>
        <w:tc>
          <w:tcPr>
            <w:tcW w:w="9641" w:type="dxa"/>
            <w:shd w:val="clear" w:color="auto" w:fill="auto"/>
          </w:tcPr>
          <w:p w:rsidR="00CA7B7B" w:rsidRPr="002121FE" w:rsidRDefault="001B43F2" w:rsidP="002121FE">
            <w:pPr>
              <w:pStyle w:val="Odsekzoznamu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odbornej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učiteľky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si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overí v</w:t>
            </w:r>
            <w:r w:rsidR="002121FE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dokumentácii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ordináciu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lekára.</w:t>
            </w:r>
          </w:p>
        </w:tc>
      </w:tr>
      <w:tr w:rsidR="00D4014C" w:rsidRPr="002121FE" w:rsidTr="001B43F2">
        <w:tc>
          <w:tcPr>
            <w:tcW w:w="0" w:type="auto"/>
            <w:shd w:val="clear" w:color="auto" w:fill="auto"/>
          </w:tcPr>
          <w:p w:rsidR="00D4014C" w:rsidRPr="002121FE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2121FE">
              <w:rPr>
                <w:rFonts w:asciiTheme="minorHAnsi" w:hAnsiTheme="minorHAnsi" w:cstheme="minorHAnsi"/>
                <w:lang w:val="sk-SK"/>
              </w:rPr>
              <w:t>2</w:t>
            </w:r>
          </w:p>
        </w:tc>
        <w:tc>
          <w:tcPr>
            <w:tcW w:w="9641" w:type="dxa"/>
            <w:shd w:val="clear" w:color="auto" w:fill="auto"/>
          </w:tcPr>
          <w:p w:rsidR="00D4014C" w:rsidRPr="002121FE" w:rsidRDefault="001B43F2" w:rsidP="002121FE">
            <w:pPr>
              <w:pStyle w:val="Odsekzoznamu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Žiaksipripravípomôcky</w:t>
            </w:r>
            <w:proofErr w:type="spellEnd"/>
            <w:r w:rsidRPr="002121FE">
              <w:rPr>
                <w:rFonts w:asciiTheme="minorHAnsi" w:hAnsiTheme="minorHAnsi" w:cstheme="minorHAnsi"/>
                <w:lang w:val="sk-SK"/>
              </w:rPr>
              <w:t>.</w:t>
            </w:r>
          </w:p>
        </w:tc>
      </w:tr>
      <w:tr w:rsidR="00D4014C" w:rsidRPr="002121FE" w:rsidTr="001B43F2">
        <w:tc>
          <w:tcPr>
            <w:tcW w:w="0" w:type="auto"/>
            <w:shd w:val="clear" w:color="auto" w:fill="auto"/>
          </w:tcPr>
          <w:p w:rsidR="00D4014C" w:rsidRPr="002121FE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2121FE">
              <w:rPr>
                <w:rFonts w:asciiTheme="minorHAnsi" w:hAnsiTheme="minorHAnsi" w:cstheme="minorHAnsi"/>
                <w:lang w:val="sk-SK"/>
              </w:rPr>
              <w:t>3</w:t>
            </w:r>
          </w:p>
        </w:tc>
        <w:tc>
          <w:tcPr>
            <w:tcW w:w="9641" w:type="dxa"/>
            <w:shd w:val="clear" w:color="auto" w:fill="auto"/>
          </w:tcPr>
          <w:p w:rsidR="004F1AFB" w:rsidRPr="002121FE" w:rsidRDefault="001B43F2" w:rsidP="002121FE">
            <w:pPr>
              <w:pStyle w:val="Odsekzoznamu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si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overí, či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pacient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nič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nejedol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polnoci, nesmie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fajči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ťani</w:t>
            </w:r>
            <w:proofErr w:type="spellEnd"/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užívať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lieky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podporujúce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žalúdočnú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sekr</w:t>
            </w:r>
            <w:r w:rsidR="002121FE">
              <w:rPr>
                <w:rFonts w:asciiTheme="minorHAnsi" w:hAnsiTheme="minorHAnsi" w:cstheme="minorHAnsi"/>
                <w:lang w:val="sk-SK"/>
              </w:rPr>
              <w:t>é</w:t>
            </w:r>
            <w:r w:rsidRPr="002121FE">
              <w:rPr>
                <w:rFonts w:asciiTheme="minorHAnsi" w:hAnsiTheme="minorHAnsi" w:cstheme="minorHAnsi"/>
                <w:lang w:val="sk-SK"/>
              </w:rPr>
              <w:t>ciu (vyšetrenie je kontraindikované u pacientov s hypertenziou, AP a IM) upozorní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pacienta, že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etapovitý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odber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bude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trvať 80-120 minút.</w:t>
            </w:r>
          </w:p>
        </w:tc>
      </w:tr>
      <w:tr w:rsidR="00A7606D" w:rsidRPr="002121FE" w:rsidTr="001B43F2">
        <w:tc>
          <w:tcPr>
            <w:tcW w:w="0" w:type="auto"/>
            <w:shd w:val="clear" w:color="auto" w:fill="auto"/>
          </w:tcPr>
          <w:p w:rsidR="00A7606D" w:rsidRPr="002121FE" w:rsidRDefault="00D14DA4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2121FE">
              <w:rPr>
                <w:rFonts w:asciiTheme="minorHAnsi" w:hAnsiTheme="minorHAnsi" w:cstheme="minorHAnsi"/>
                <w:lang w:val="sk-SK"/>
              </w:rPr>
              <w:t>4</w:t>
            </w:r>
          </w:p>
        </w:tc>
        <w:tc>
          <w:tcPr>
            <w:tcW w:w="9641" w:type="dxa"/>
            <w:shd w:val="clear" w:color="auto" w:fill="auto"/>
          </w:tcPr>
          <w:p w:rsidR="00A7606D" w:rsidRPr="002121FE" w:rsidRDefault="001B43F2" w:rsidP="002121FE">
            <w:pPr>
              <w:pStyle w:val="Odsekzoznamu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odmeria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vitálne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hodnoty, ak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má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umelý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chrup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tak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si ho pacient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vyberie, pacient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pri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jednorazovom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odbere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zaujme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polohu v</w:t>
            </w:r>
            <w:r w:rsidR="002121FE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sede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na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stoličke s</w:t>
            </w:r>
            <w:r w:rsidR="002121FE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operadlom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alebo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na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posteli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vo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vysokej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Fowlerovej</w:t>
            </w:r>
            <w:proofErr w:type="spellEnd"/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polohe, pri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etapovitom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odbere uloží ho do ľahu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na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ľavom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boku.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</w:p>
        </w:tc>
      </w:tr>
      <w:tr w:rsidR="00D4014C" w:rsidRPr="002121FE" w:rsidTr="001B43F2">
        <w:tc>
          <w:tcPr>
            <w:tcW w:w="0" w:type="auto"/>
            <w:shd w:val="clear" w:color="auto" w:fill="auto"/>
          </w:tcPr>
          <w:p w:rsidR="00D4014C" w:rsidRPr="002121FE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2121FE">
              <w:rPr>
                <w:rFonts w:asciiTheme="minorHAnsi" w:hAnsiTheme="minorHAnsi" w:cstheme="minorHAnsi"/>
                <w:lang w:val="sk-SK"/>
              </w:rPr>
              <w:t>5</w:t>
            </w:r>
          </w:p>
        </w:tc>
        <w:tc>
          <w:tcPr>
            <w:tcW w:w="9641" w:type="dxa"/>
            <w:shd w:val="clear" w:color="auto" w:fill="auto"/>
          </w:tcPr>
          <w:p w:rsidR="00D4014C" w:rsidRPr="002121FE" w:rsidRDefault="001B43F2" w:rsidP="002121FE">
            <w:pPr>
              <w:pStyle w:val="Odsekzoznamu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 pod bradu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pacientovi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položí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uterák s</w:t>
            </w:r>
            <w:r w:rsidR="002121FE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gumenou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podložkou, poskytne mu buničitú vatu a</w:t>
            </w:r>
            <w:r w:rsidR="00D40CCF">
              <w:rPr>
                <w:rFonts w:asciiTheme="minorHAnsi" w:hAnsiTheme="minorHAnsi" w:cstheme="minorHAnsi"/>
                <w:lang w:val="sk-SK"/>
              </w:rPr>
              <w:t> 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emitnú</w:t>
            </w:r>
            <w:proofErr w:type="spellEnd"/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misku.</w:t>
            </w:r>
          </w:p>
        </w:tc>
      </w:tr>
      <w:tr w:rsidR="00D4014C" w:rsidRPr="002121FE" w:rsidTr="001B43F2">
        <w:tc>
          <w:tcPr>
            <w:tcW w:w="0" w:type="auto"/>
            <w:shd w:val="clear" w:color="auto" w:fill="auto"/>
          </w:tcPr>
          <w:p w:rsidR="00D4014C" w:rsidRPr="002121FE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2121FE">
              <w:rPr>
                <w:rFonts w:asciiTheme="minorHAnsi" w:hAnsiTheme="minorHAnsi" w:cstheme="minorHAnsi"/>
                <w:lang w:val="sk-SK"/>
              </w:rPr>
              <w:t>6</w:t>
            </w:r>
          </w:p>
        </w:tc>
        <w:tc>
          <w:tcPr>
            <w:tcW w:w="9641" w:type="dxa"/>
            <w:shd w:val="clear" w:color="auto" w:fill="auto"/>
          </w:tcPr>
          <w:p w:rsidR="001B43F2" w:rsidRPr="002121FE" w:rsidRDefault="001B43F2" w:rsidP="002121FE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si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umyje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pred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výkonom</w:t>
            </w:r>
            <w:r w:rsid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ruky.</w:t>
            </w:r>
          </w:p>
        </w:tc>
      </w:tr>
      <w:tr w:rsidR="008129D1" w:rsidRPr="002121FE" w:rsidTr="001B43F2">
        <w:tc>
          <w:tcPr>
            <w:tcW w:w="0" w:type="auto"/>
            <w:shd w:val="clear" w:color="auto" w:fill="auto"/>
          </w:tcPr>
          <w:p w:rsidR="008129D1" w:rsidRPr="002121FE" w:rsidRDefault="008129D1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P7</w:t>
            </w:r>
          </w:p>
        </w:tc>
        <w:tc>
          <w:tcPr>
            <w:tcW w:w="9641" w:type="dxa"/>
            <w:shd w:val="clear" w:color="auto" w:fill="auto"/>
          </w:tcPr>
          <w:p w:rsidR="008129D1" w:rsidRPr="002121FE" w:rsidRDefault="001B43F2" w:rsidP="00D40CCF">
            <w:pPr>
              <w:pStyle w:val="Odsekzoznamu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odbornej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učiteľky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vysvetlí a</w:t>
            </w:r>
            <w:r w:rsidR="00D40CCF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precvičí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postup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prehĺtania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sondy, naučí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správne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dýchať (pomalý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nádych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nosom, prehltnúť – výdych, pri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nevoľnosti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treba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dýchať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nosom, masírovať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koreň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nosa).</w:t>
            </w:r>
          </w:p>
        </w:tc>
      </w:tr>
      <w:tr w:rsidR="00D4014C" w:rsidRPr="002121FE" w:rsidTr="001B43F2">
        <w:tc>
          <w:tcPr>
            <w:tcW w:w="0" w:type="auto"/>
            <w:shd w:val="clear" w:color="auto" w:fill="auto"/>
          </w:tcPr>
          <w:p w:rsidR="00D4014C" w:rsidRPr="002121FE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2121FE">
              <w:rPr>
                <w:rFonts w:asciiTheme="minorHAnsi" w:hAnsiTheme="minorHAnsi" w:cstheme="minorHAnsi"/>
                <w:lang w:val="sk-SK"/>
              </w:rPr>
              <w:t>8</w:t>
            </w:r>
          </w:p>
        </w:tc>
        <w:tc>
          <w:tcPr>
            <w:tcW w:w="9641" w:type="dxa"/>
            <w:shd w:val="clear" w:color="auto" w:fill="auto"/>
          </w:tcPr>
          <w:p w:rsidR="00D4014C" w:rsidRPr="002121FE" w:rsidRDefault="00235B1D" w:rsidP="00D40CCF">
            <w:pPr>
              <w:pStyle w:val="Odsekzoznamu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odbornej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učiteľky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určí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vzdialenosť, do akej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má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sonda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zaviesť( t. j. určenie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dĺžky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ušný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lalôčik – nos – spodný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 xml:space="preserve">okraj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sterna</w:t>
            </w:r>
            <w:proofErr w:type="spellEnd"/>
            <w:r w:rsidRPr="002121FE">
              <w:rPr>
                <w:rFonts w:asciiTheme="minorHAnsi" w:hAnsiTheme="minorHAnsi" w:cstheme="minorHAnsi"/>
                <w:lang w:val="sk-SK"/>
              </w:rPr>
              <w:t>). Ak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sonda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nemá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značku, označí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túto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vzdialenosť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leukoplastom.</w:t>
            </w:r>
          </w:p>
        </w:tc>
      </w:tr>
      <w:tr w:rsidR="00D4014C" w:rsidRPr="002121FE" w:rsidTr="001B43F2">
        <w:tc>
          <w:tcPr>
            <w:tcW w:w="0" w:type="auto"/>
            <w:shd w:val="clear" w:color="auto" w:fill="auto"/>
          </w:tcPr>
          <w:p w:rsidR="00D4014C" w:rsidRPr="002121FE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2121FE">
              <w:rPr>
                <w:rFonts w:asciiTheme="minorHAnsi" w:hAnsiTheme="minorHAnsi" w:cstheme="minorHAnsi"/>
                <w:lang w:val="sk-SK"/>
              </w:rPr>
              <w:t>9</w:t>
            </w:r>
          </w:p>
        </w:tc>
        <w:tc>
          <w:tcPr>
            <w:tcW w:w="9641" w:type="dxa"/>
            <w:shd w:val="clear" w:color="auto" w:fill="auto"/>
          </w:tcPr>
          <w:p w:rsidR="00D4014C" w:rsidRPr="002121FE" w:rsidRDefault="00235B1D" w:rsidP="00D40CCF">
            <w:pPr>
              <w:pStyle w:val="Odsekzoznamu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odbornej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učiteľky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kontrole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polohy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sondy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odsaje do skúmaviek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označených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nalačno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celé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množstvo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žalúdočného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obsahu (nalačno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sa u</w:t>
            </w:r>
            <w:r w:rsidR="00D40CCF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zdravého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človeka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vytvorí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asi 50 ml šťavy) a</w:t>
            </w:r>
            <w:r w:rsidR="00D40CCF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diagnostickým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papierikom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vyšetrí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reakciu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žalúdočnej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šťavy, množstvo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žalúdočnej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šťavy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nalačno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označuje, ako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reziduálna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sekrécia. Skúmavky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označené</w:t>
            </w:r>
            <w:r w:rsidRPr="002121FE">
              <w:rPr>
                <w:rFonts w:asciiTheme="minorHAnsi" w:hAnsiTheme="minorHAnsi" w:cstheme="minorHAnsi"/>
                <w:b/>
                <w:lang w:val="sk-SK"/>
              </w:rPr>
              <w:t xml:space="preserve"> 0.</w:t>
            </w:r>
          </w:p>
        </w:tc>
      </w:tr>
      <w:tr w:rsidR="00D4014C" w:rsidRPr="002121FE" w:rsidTr="001B43F2">
        <w:tc>
          <w:tcPr>
            <w:tcW w:w="0" w:type="auto"/>
            <w:shd w:val="clear" w:color="auto" w:fill="auto"/>
          </w:tcPr>
          <w:p w:rsidR="00D4014C" w:rsidRPr="002121FE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P1</w:t>
            </w:r>
            <w:r w:rsidR="006E5DAA" w:rsidRPr="002121FE">
              <w:rPr>
                <w:rFonts w:asciiTheme="minorHAnsi" w:hAnsiTheme="minorHAnsi" w:cstheme="minorHAnsi"/>
                <w:lang w:val="sk-SK"/>
              </w:rPr>
              <w:t>0</w:t>
            </w:r>
          </w:p>
        </w:tc>
        <w:tc>
          <w:tcPr>
            <w:tcW w:w="9641" w:type="dxa"/>
            <w:shd w:val="clear" w:color="auto" w:fill="auto"/>
          </w:tcPr>
          <w:p w:rsidR="00235B1D" w:rsidRPr="002121FE" w:rsidRDefault="00235B1D" w:rsidP="00D40CC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odbornej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učiteľky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aplikuje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ordinovanú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stimulačnú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látku.</w:t>
            </w:r>
          </w:p>
        </w:tc>
      </w:tr>
      <w:tr w:rsidR="001B43F2" w:rsidRPr="002121FE" w:rsidTr="001B4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F2" w:rsidRPr="002121FE" w:rsidRDefault="001B43F2" w:rsidP="003B4E9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P11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F2" w:rsidRPr="002121FE" w:rsidRDefault="00235B1D" w:rsidP="00D40CC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odbornej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učiteľky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vyšetrení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reziduálnej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sekrécie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odsaje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žalúdočnú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šťavu do skúmaviek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b/>
                <w:lang w:val="sk-SK"/>
              </w:rPr>
              <w:t>1,2,3,4</w:t>
            </w:r>
            <w:r w:rsidRPr="002121FE">
              <w:rPr>
                <w:rFonts w:asciiTheme="minorHAnsi" w:hAnsiTheme="minorHAnsi" w:cstheme="minorHAnsi"/>
                <w:lang w:val="sk-SK"/>
              </w:rPr>
              <w:t xml:space="preserve"> v 15 minútových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intervaloch, pri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väčšom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množstve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ostatné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skúmavky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označí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b/>
                <w:lang w:val="sk-SK"/>
              </w:rPr>
              <w:t>1.1,2.2.2</w:t>
            </w:r>
            <w:r w:rsidRPr="002121FE">
              <w:rPr>
                <w:rFonts w:asciiTheme="minorHAnsi" w:hAnsiTheme="minorHAnsi" w:cstheme="minorHAnsi"/>
                <w:lang w:val="sk-SK"/>
              </w:rPr>
              <w:t>medzi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jednotlivými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intervalmi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sondu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preruší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peánom</w:t>
            </w:r>
            <w:proofErr w:type="spellEnd"/>
            <w:r w:rsidRPr="002121FE">
              <w:rPr>
                <w:rFonts w:asciiTheme="minorHAnsi" w:hAnsiTheme="minorHAnsi" w:cstheme="minorHAnsi"/>
                <w:lang w:val="sk-SK"/>
              </w:rPr>
              <w:t>. Súčet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množstva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jednotlivých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porcií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žalúdočnej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šťavy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označuje, ako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bazálna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sekrécia – bazálny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výdaj HCL – BAO (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basal</w:t>
            </w:r>
            <w:proofErr w:type="spellEnd"/>
            <w:r w:rsidRP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acid</w:t>
            </w:r>
            <w:proofErr w:type="spellEnd"/>
            <w:r w:rsidRPr="002121FE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output</w:t>
            </w:r>
            <w:proofErr w:type="spellEnd"/>
            <w:r w:rsidRPr="002121FE">
              <w:rPr>
                <w:rFonts w:asciiTheme="minorHAnsi" w:hAnsiTheme="minorHAnsi" w:cstheme="minorHAnsi"/>
                <w:lang w:val="sk-SK"/>
              </w:rPr>
              <w:t>).</w:t>
            </w:r>
          </w:p>
        </w:tc>
      </w:tr>
      <w:tr w:rsidR="001B43F2" w:rsidRPr="002121FE" w:rsidTr="001B4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F2" w:rsidRPr="002121FE" w:rsidRDefault="001B43F2" w:rsidP="003B4E9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P12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F2" w:rsidRPr="002121FE" w:rsidRDefault="00235B1D" w:rsidP="00D40CC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odbornej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učiteľky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priechodnosť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sondy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zablokuje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peánom</w:t>
            </w:r>
            <w:proofErr w:type="spellEnd"/>
            <w:r w:rsidRPr="002121FE">
              <w:rPr>
                <w:rFonts w:asciiTheme="minorHAnsi" w:hAnsiTheme="minorHAnsi" w:cstheme="minorHAnsi"/>
                <w:lang w:val="sk-SK"/>
              </w:rPr>
              <w:t xml:space="preserve"> a</w:t>
            </w:r>
            <w:r w:rsidR="00D40CCF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za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súčasného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otierania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buničitou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vatou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sondu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vytiahne zo žalúdka.</w:t>
            </w:r>
          </w:p>
        </w:tc>
      </w:tr>
      <w:tr w:rsidR="001B43F2" w:rsidRPr="002121FE" w:rsidTr="001B4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F2" w:rsidRPr="002121FE" w:rsidRDefault="001B43F2" w:rsidP="003B4E9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P13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F2" w:rsidRPr="002121FE" w:rsidRDefault="00235B1D" w:rsidP="00D40CC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skončení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odberu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zabezpečuje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jej transport do laboratória, ktoré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stanoví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vrcholovú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sekr</w:t>
            </w:r>
            <w:r w:rsidR="00D40CCF">
              <w:rPr>
                <w:rFonts w:asciiTheme="minorHAnsi" w:hAnsiTheme="minorHAnsi" w:cstheme="minorHAnsi"/>
                <w:lang w:val="sk-SK"/>
              </w:rPr>
              <w:t>é</w:t>
            </w:r>
            <w:r w:rsidRPr="002121FE">
              <w:rPr>
                <w:rFonts w:asciiTheme="minorHAnsi" w:hAnsiTheme="minorHAnsi" w:cstheme="minorHAnsi"/>
                <w:lang w:val="sk-SK"/>
              </w:rPr>
              <w:t>ciu (PAO).</w:t>
            </w:r>
          </w:p>
        </w:tc>
      </w:tr>
      <w:tr w:rsidR="001B43F2" w:rsidRPr="002121FE" w:rsidTr="001B4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F2" w:rsidRPr="002121FE" w:rsidRDefault="001B43F2" w:rsidP="003B4E9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P14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F2" w:rsidRPr="002121FE" w:rsidRDefault="00235B1D" w:rsidP="00D40CC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ponúkne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pacientovi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pohár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vodyna</w:t>
            </w:r>
            <w:proofErr w:type="spellEnd"/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výplach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ústnej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dutiny, prípadne mu pomôže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zabezpečiť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dentálnu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lastRenderedPageBreak/>
              <w:t>hygienu.</w:t>
            </w:r>
          </w:p>
        </w:tc>
      </w:tr>
      <w:tr w:rsidR="001B43F2" w:rsidRPr="002121FE" w:rsidTr="001B4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F2" w:rsidRPr="002121FE" w:rsidRDefault="001B43F2" w:rsidP="003B4E9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lastRenderedPageBreak/>
              <w:t>P15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1D" w:rsidRPr="002121FE" w:rsidRDefault="00235B1D" w:rsidP="00D40CC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 pod vedení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m </w:t>
            </w:r>
            <w:r w:rsidRPr="002121FE">
              <w:rPr>
                <w:rFonts w:asciiTheme="minorHAnsi" w:hAnsiTheme="minorHAnsi" w:cstheme="minorHAnsi"/>
                <w:lang w:val="sk-SK"/>
              </w:rPr>
              <w:t>odbornej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učiteľky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 </w:t>
            </w:r>
            <w:r w:rsidRPr="002121FE">
              <w:rPr>
                <w:rFonts w:asciiTheme="minorHAnsi" w:hAnsiTheme="minorHAnsi" w:cstheme="minorHAnsi"/>
                <w:lang w:val="sk-SK"/>
              </w:rPr>
              <w:t>podľa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aktuálneho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stavu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uloží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 xml:space="preserve">pacienta do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úľavovej</w:t>
            </w:r>
            <w:proofErr w:type="spellEnd"/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 xml:space="preserve">polohy, napr.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Fowlerovej</w:t>
            </w:r>
            <w:proofErr w:type="spellEnd"/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alebo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laterálnej.</w:t>
            </w:r>
          </w:p>
        </w:tc>
      </w:tr>
      <w:tr w:rsidR="001B43F2" w:rsidRPr="002121FE" w:rsidTr="001B4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F2" w:rsidRPr="002121FE" w:rsidRDefault="001B43F2" w:rsidP="003B4E9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P16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F2" w:rsidRPr="002121FE" w:rsidRDefault="00235B1D" w:rsidP="00D40CC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odbornej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učiteľky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aplikuje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ordinovanú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liečbu a</w:t>
            </w:r>
            <w:r w:rsidR="00D40CCF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sleduje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jej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účinok.</w:t>
            </w:r>
          </w:p>
        </w:tc>
      </w:tr>
      <w:tr w:rsidR="001B43F2" w:rsidRPr="002121FE" w:rsidTr="001B4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F2" w:rsidRPr="002121FE" w:rsidRDefault="001B43F2" w:rsidP="003B4E9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P17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F2" w:rsidRPr="002121FE" w:rsidRDefault="00235B1D" w:rsidP="00D40CC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monitoruje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vitálne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funkcie a</w:t>
            </w:r>
            <w:r w:rsidR="00D40CCF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celkový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stav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pacienta.</w:t>
            </w:r>
          </w:p>
        </w:tc>
      </w:tr>
      <w:tr w:rsidR="00235B1D" w:rsidRPr="002121FE" w:rsidTr="00235B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1D" w:rsidRPr="002121FE" w:rsidRDefault="00235B1D" w:rsidP="003B4E9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P18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1D" w:rsidRPr="002121FE" w:rsidRDefault="00235B1D" w:rsidP="00D40CC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postará o 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dekontamináciu</w:t>
            </w:r>
            <w:proofErr w:type="spellEnd"/>
            <w:r w:rsidRPr="002121FE">
              <w:rPr>
                <w:rFonts w:asciiTheme="minorHAnsi" w:hAnsiTheme="minorHAnsi" w:cstheme="minorHAnsi"/>
                <w:lang w:val="sk-SK"/>
              </w:rPr>
              <w:t>, dezinfekciu a uloženie  pomôcok.</w:t>
            </w:r>
          </w:p>
        </w:tc>
      </w:tr>
    </w:tbl>
    <w:p w:rsidR="009D0AE2" w:rsidRPr="002121FE" w:rsidRDefault="009D0AE2" w:rsidP="00EF1814">
      <w:pPr>
        <w:spacing w:after="0"/>
        <w:rPr>
          <w:rFonts w:asciiTheme="minorHAnsi" w:hAnsiTheme="minorHAnsi" w:cstheme="minorHAnsi"/>
          <w:b/>
          <w:lang w:val="sk-SK"/>
        </w:rPr>
      </w:pPr>
    </w:p>
    <w:p w:rsidR="00E611EB" w:rsidRPr="002121FE" w:rsidRDefault="00E611EB" w:rsidP="00E611EB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sk-SK"/>
        </w:rPr>
      </w:pPr>
      <w:r w:rsidRPr="002121FE">
        <w:rPr>
          <w:rFonts w:asciiTheme="minorHAnsi" w:hAnsiTheme="minorHAnsi" w:cstheme="minorHAnsi"/>
          <w:b/>
          <w:u w:val="single"/>
          <w:lang w:val="sk-SK"/>
        </w:rPr>
        <w:t>Odber a</w:t>
      </w:r>
      <w:r w:rsidR="00D40CCF">
        <w:rPr>
          <w:rFonts w:asciiTheme="minorHAnsi" w:hAnsiTheme="minorHAnsi" w:cstheme="minorHAnsi"/>
          <w:b/>
          <w:u w:val="single"/>
          <w:lang w:val="sk-SK"/>
        </w:rPr>
        <w:t> </w:t>
      </w:r>
      <w:r w:rsidRPr="002121FE">
        <w:rPr>
          <w:rFonts w:asciiTheme="minorHAnsi" w:hAnsiTheme="minorHAnsi" w:cstheme="minorHAnsi"/>
          <w:b/>
          <w:u w:val="single"/>
          <w:lang w:val="sk-SK"/>
        </w:rPr>
        <w:t>vyšetrenie</w:t>
      </w:r>
      <w:r w:rsidR="00D40CCF">
        <w:rPr>
          <w:rFonts w:asciiTheme="minorHAnsi" w:hAnsiTheme="minorHAnsi" w:cstheme="minorHAnsi"/>
          <w:b/>
          <w:u w:val="single"/>
          <w:lang w:val="sk-SK"/>
        </w:rPr>
        <w:t xml:space="preserve"> </w:t>
      </w:r>
      <w:proofErr w:type="spellStart"/>
      <w:r w:rsidRPr="002121FE">
        <w:rPr>
          <w:rFonts w:asciiTheme="minorHAnsi" w:hAnsiTheme="minorHAnsi" w:cstheme="minorHAnsi"/>
          <w:b/>
          <w:u w:val="single"/>
          <w:lang w:val="sk-SK"/>
        </w:rPr>
        <w:t>duodenálnej</w:t>
      </w:r>
      <w:proofErr w:type="spellEnd"/>
      <w:r w:rsidR="00D40CCF">
        <w:rPr>
          <w:rFonts w:asciiTheme="minorHAnsi" w:hAnsiTheme="minorHAnsi" w:cstheme="minorHAnsi"/>
          <w:b/>
          <w:u w:val="single"/>
          <w:lang w:val="sk-SK"/>
        </w:rPr>
        <w:t xml:space="preserve"> </w:t>
      </w:r>
      <w:r w:rsidRPr="002121FE">
        <w:rPr>
          <w:rFonts w:asciiTheme="minorHAnsi" w:hAnsiTheme="minorHAnsi" w:cstheme="minorHAnsi"/>
          <w:b/>
          <w:u w:val="single"/>
          <w:lang w:val="sk-SK"/>
        </w:rPr>
        <w:t>šťavy</w:t>
      </w:r>
    </w:p>
    <w:p w:rsidR="00E611EB" w:rsidRPr="002121FE" w:rsidRDefault="00E611EB" w:rsidP="00E611EB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sk-SK"/>
        </w:rPr>
      </w:pPr>
    </w:p>
    <w:p w:rsidR="00E611EB" w:rsidRPr="002121FE" w:rsidRDefault="00E611EB" w:rsidP="00E611EB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9641"/>
      </w:tblGrid>
      <w:tr w:rsidR="00E611EB" w:rsidRPr="002121FE" w:rsidTr="001A7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EB" w:rsidRPr="002121FE" w:rsidRDefault="00E611EB" w:rsidP="001A7F98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EB" w:rsidRPr="002121FE" w:rsidRDefault="00E611EB" w:rsidP="00D40CC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odbornej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učiteľky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uloží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pacienta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pravý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bok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pevný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základ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postele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odstráni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vankúše, posteľ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 xml:space="preserve">upraví do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Trendelenburgovej</w:t>
            </w:r>
            <w:proofErr w:type="spellEnd"/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polohy, alebo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podloží pod panvu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klinový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vankúš (táto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poloha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urýchľuje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preniknutie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sondy do dvanástnika).</w:t>
            </w:r>
          </w:p>
        </w:tc>
      </w:tr>
      <w:tr w:rsidR="00E611EB" w:rsidRPr="002121FE" w:rsidTr="001A7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EB" w:rsidRPr="002121FE" w:rsidRDefault="00E611EB" w:rsidP="001A7F98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EB" w:rsidRPr="002121FE" w:rsidRDefault="00E611EB" w:rsidP="00D40CC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pod vedením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odbornej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učiteľky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upozorní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pacienta, že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musí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prehltnúť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ešte 20 cm sondy, tento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úsek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sondy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musí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prehĺtať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pomaly, aby sa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sonda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dostala zo žalúdka do dvanástnika</w:t>
            </w:r>
          </w:p>
        </w:tc>
      </w:tr>
      <w:tr w:rsidR="00E611EB" w:rsidRPr="002121FE" w:rsidTr="001A7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EB" w:rsidRPr="002121FE" w:rsidRDefault="00E611EB" w:rsidP="001A7F98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P3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EB" w:rsidRPr="002121FE" w:rsidRDefault="00E611EB" w:rsidP="00E8062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Žiak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postaví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blízko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postele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stojan so skúmavkami a</w:t>
            </w:r>
            <w:r w:rsidR="00D40CCF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koniec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sondy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vloží do prvej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skúmavky. Keď zo sondy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začne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vytekať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žltkastá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šťava</w:t>
            </w:r>
            <w:r w:rsidR="00D40CC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neutrálnej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alebo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2121FE">
              <w:rPr>
                <w:rFonts w:asciiTheme="minorHAnsi" w:hAnsiTheme="minorHAnsi" w:cstheme="minorHAnsi"/>
                <w:lang w:val="sk-SK"/>
              </w:rPr>
              <w:t>slabozásaditej</w:t>
            </w:r>
            <w:proofErr w:type="spellEnd"/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reakcie, zachytí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ju  do 1-2 skúmaviek a</w:t>
            </w:r>
            <w:r w:rsidR="00E80629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podľa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vyšetrovaných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parametrov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zabezpečí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potrebné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transportné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prostredie.</w:t>
            </w:r>
          </w:p>
        </w:tc>
      </w:tr>
    </w:tbl>
    <w:p w:rsidR="00310B27" w:rsidRPr="002121FE" w:rsidRDefault="00310B27" w:rsidP="00EF1814">
      <w:pPr>
        <w:spacing w:after="0"/>
        <w:rPr>
          <w:rFonts w:asciiTheme="minorHAnsi" w:hAnsiTheme="minorHAnsi" w:cstheme="minorHAnsi"/>
          <w:b/>
          <w:lang w:val="sk-SK"/>
        </w:rPr>
      </w:pPr>
    </w:p>
    <w:p w:rsidR="00E611EB" w:rsidRPr="002121FE" w:rsidRDefault="00E611EB" w:rsidP="00EF1814">
      <w:pPr>
        <w:spacing w:after="0"/>
        <w:rPr>
          <w:rFonts w:asciiTheme="minorHAnsi" w:hAnsiTheme="minorHAnsi" w:cstheme="minorHAnsi"/>
          <w:b/>
          <w:lang w:val="sk-SK"/>
        </w:rPr>
      </w:pPr>
    </w:p>
    <w:p w:rsidR="00E611EB" w:rsidRPr="002121FE" w:rsidRDefault="00E611EB" w:rsidP="00E611EB">
      <w:pPr>
        <w:spacing w:after="0"/>
        <w:rPr>
          <w:rFonts w:asciiTheme="minorHAnsi" w:hAnsiTheme="minorHAnsi" w:cstheme="minorHAnsi"/>
          <w:b/>
          <w:lang w:val="sk-SK"/>
        </w:rPr>
      </w:pPr>
      <w:r w:rsidRPr="002121FE">
        <w:rPr>
          <w:rFonts w:asciiTheme="minorHAnsi" w:hAnsiTheme="minorHAnsi" w:cstheme="minorHAnsi"/>
          <w:b/>
          <w:lang w:val="sk-SK"/>
        </w:rPr>
        <w:t>Kritéria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9772"/>
      </w:tblGrid>
      <w:tr w:rsidR="00E611EB" w:rsidRPr="002121FE" w:rsidTr="001A7F98">
        <w:tc>
          <w:tcPr>
            <w:tcW w:w="0" w:type="auto"/>
            <w:shd w:val="clear" w:color="auto" w:fill="auto"/>
          </w:tcPr>
          <w:p w:rsidR="00E611EB" w:rsidRPr="002121FE" w:rsidRDefault="00E611EB" w:rsidP="001A7F98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V1</w:t>
            </w:r>
          </w:p>
        </w:tc>
        <w:tc>
          <w:tcPr>
            <w:tcW w:w="9772" w:type="dxa"/>
            <w:shd w:val="clear" w:color="auto" w:fill="auto"/>
          </w:tcPr>
          <w:p w:rsidR="00E611EB" w:rsidRPr="002121FE" w:rsidRDefault="00E611EB" w:rsidP="00E8062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Pacient je oboznámení s dôvodom a s</w:t>
            </w:r>
            <w:r w:rsidR="00E80629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postupom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zavádzania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sondy a s</w:t>
            </w:r>
            <w:r w:rsidR="00E80629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priebehom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odberu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 </w:t>
            </w:r>
            <w:r w:rsidRPr="002121FE">
              <w:rPr>
                <w:rFonts w:asciiTheme="minorHAnsi" w:hAnsiTheme="minorHAnsi" w:cstheme="minorHAnsi"/>
                <w:lang w:val="sk-SK"/>
              </w:rPr>
              <w:t>žalúdočného a</w:t>
            </w:r>
            <w:r w:rsidR="00E80629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dvanástnikového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obsahu.</w:t>
            </w:r>
          </w:p>
        </w:tc>
      </w:tr>
      <w:tr w:rsidR="00E611EB" w:rsidRPr="002121FE" w:rsidTr="001A7F98">
        <w:tc>
          <w:tcPr>
            <w:tcW w:w="0" w:type="auto"/>
            <w:shd w:val="clear" w:color="auto" w:fill="auto"/>
          </w:tcPr>
          <w:p w:rsidR="00E611EB" w:rsidRPr="002121FE" w:rsidRDefault="00E611EB" w:rsidP="001A7F98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V2</w:t>
            </w:r>
          </w:p>
        </w:tc>
        <w:tc>
          <w:tcPr>
            <w:tcW w:w="9772" w:type="dxa"/>
            <w:shd w:val="clear" w:color="auto" w:fill="auto"/>
          </w:tcPr>
          <w:p w:rsidR="00E611EB" w:rsidRPr="002121FE" w:rsidRDefault="00E611EB" w:rsidP="00E80629">
            <w:pPr>
              <w:pStyle w:val="Odsekzoznamu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Pacient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má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počas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výkonu a</w:t>
            </w:r>
            <w:r w:rsidR="00E80629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po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výkone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sledovaný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zdravotný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stav a</w:t>
            </w:r>
            <w:r w:rsidR="00E80629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vitálne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funkcie.</w:t>
            </w:r>
          </w:p>
        </w:tc>
      </w:tr>
      <w:tr w:rsidR="00E611EB" w:rsidRPr="002121FE" w:rsidTr="001A7F98">
        <w:tc>
          <w:tcPr>
            <w:tcW w:w="0" w:type="auto"/>
            <w:shd w:val="clear" w:color="auto" w:fill="auto"/>
          </w:tcPr>
          <w:p w:rsidR="00E611EB" w:rsidRPr="002121FE" w:rsidRDefault="00E611EB" w:rsidP="001A7F98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V3</w:t>
            </w:r>
          </w:p>
        </w:tc>
        <w:tc>
          <w:tcPr>
            <w:tcW w:w="9772" w:type="dxa"/>
            <w:shd w:val="clear" w:color="auto" w:fill="auto"/>
          </w:tcPr>
          <w:p w:rsidR="00E611EB" w:rsidRPr="002121FE" w:rsidRDefault="00E611EB" w:rsidP="00E80629">
            <w:pPr>
              <w:pStyle w:val="Odsekzoznamu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2121FE">
              <w:rPr>
                <w:rFonts w:asciiTheme="minorHAnsi" w:hAnsiTheme="minorHAnsi" w:cstheme="minorHAnsi"/>
                <w:lang w:val="sk-SK"/>
              </w:rPr>
              <w:t>V dokumentácii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pacienta je urobený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záznam  o</w:t>
            </w:r>
            <w:r w:rsidR="00E80629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odbere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žalúdočného a</w:t>
            </w:r>
            <w:r w:rsidR="00E80629">
              <w:rPr>
                <w:rFonts w:asciiTheme="minorHAnsi" w:hAnsiTheme="minorHAnsi" w:cstheme="minorHAnsi"/>
                <w:lang w:val="sk-SK"/>
              </w:rPr>
              <w:t> </w:t>
            </w:r>
            <w:r w:rsidRPr="002121FE">
              <w:rPr>
                <w:rFonts w:asciiTheme="minorHAnsi" w:hAnsiTheme="minorHAnsi" w:cstheme="minorHAnsi"/>
                <w:lang w:val="sk-SK"/>
              </w:rPr>
              <w:t>dvanástnikového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121FE">
              <w:rPr>
                <w:rFonts w:asciiTheme="minorHAnsi" w:hAnsiTheme="minorHAnsi" w:cstheme="minorHAnsi"/>
                <w:lang w:val="sk-SK"/>
              </w:rPr>
              <w:t>obsahu.</w:t>
            </w:r>
          </w:p>
        </w:tc>
      </w:tr>
    </w:tbl>
    <w:p w:rsidR="00E611EB" w:rsidRPr="00E611EB" w:rsidRDefault="00E611EB" w:rsidP="00E611EB">
      <w:pPr>
        <w:rPr>
          <w:rFonts w:asciiTheme="minorHAnsi" w:hAnsiTheme="minorHAnsi" w:cstheme="minorHAnsi"/>
          <w:lang w:val="sk-SK"/>
        </w:rPr>
      </w:pPr>
    </w:p>
    <w:p w:rsidR="00E611EB" w:rsidRPr="00E611EB" w:rsidRDefault="00E611EB" w:rsidP="00EF1814">
      <w:pPr>
        <w:spacing w:after="0"/>
        <w:rPr>
          <w:rFonts w:asciiTheme="minorHAnsi" w:hAnsiTheme="minorHAnsi" w:cstheme="minorHAnsi"/>
          <w:b/>
          <w:lang w:val="sk-SK"/>
        </w:rPr>
      </w:pPr>
    </w:p>
    <w:p w:rsidR="00DA37C3" w:rsidRPr="00E611EB" w:rsidRDefault="00DA37C3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E611EB">
        <w:rPr>
          <w:rFonts w:asciiTheme="minorHAnsi" w:hAnsiTheme="minorHAnsi" w:cstheme="minorHAnsi"/>
          <w:b/>
        </w:rPr>
        <w:t>Tabuľka</w:t>
      </w:r>
      <w:proofErr w:type="spellEnd"/>
      <w:r w:rsidRPr="00E611EB">
        <w:rPr>
          <w:rFonts w:asciiTheme="minorHAnsi" w:hAnsiTheme="minorHAnsi" w:cstheme="minorHAnsi"/>
          <w:b/>
        </w:rPr>
        <w:t xml:space="preserve"> č.1 </w:t>
      </w:r>
      <w:proofErr w:type="spellStart"/>
      <w:r w:rsidRPr="00E611EB">
        <w:rPr>
          <w:rFonts w:asciiTheme="minorHAnsi" w:hAnsiTheme="minorHAnsi" w:cstheme="minorHAnsi"/>
          <w:b/>
        </w:rPr>
        <w:t>Fyzikálne</w:t>
      </w:r>
      <w:proofErr w:type="spellEnd"/>
      <w:r w:rsidR="00E80629">
        <w:rPr>
          <w:rFonts w:asciiTheme="minorHAnsi" w:hAnsiTheme="minorHAnsi" w:cstheme="minorHAnsi"/>
          <w:b/>
        </w:rPr>
        <w:t xml:space="preserve"> </w:t>
      </w:r>
      <w:proofErr w:type="spellStart"/>
      <w:r w:rsidRPr="00E611EB">
        <w:rPr>
          <w:rFonts w:asciiTheme="minorHAnsi" w:hAnsiTheme="minorHAnsi" w:cstheme="minorHAnsi"/>
          <w:b/>
        </w:rPr>
        <w:t>vyšetrenie</w:t>
      </w:r>
      <w:proofErr w:type="spellEnd"/>
      <w:r w:rsidRPr="00E611EB">
        <w:rPr>
          <w:rFonts w:asciiTheme="minorHAnsi" w:hAnsiTheme="minorHAnsi" w:cstheme="minorHAnsi"/>
          <w:b/>
        </w:rPr>
        <w:t>:</w:t>
      </w:r>
    </w:p>
    <w:tbl>
      <w:tblPr>
        <w:tblpPr w:leftFromText="141" w:rightFromText="141" w:vertAnchor="text" w:horzAnchor="margin" w:tblpY="357"/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3"/>
        <w:gridCol w:w="3244"/>
        <w:gridCol w:w="3244"/>
      </w:tblGrid>
      <w:tr w:rsidR="00DA37C3" w:rsidRPr="00E611EB" w:rsidTr="003B4E92">
        <w:trPr>
          <w:trHeight w:val="263"/>
        </w:trPr>
        <w:tc>
          <w:tcPr>
            <w:tcW w:w="3243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E80629">
              <w:rPr>
                <w:rFonts w:asciiTheme="minorHAnsi" w:hAnsiTheme="minorHAnsi" w:cstheme="minorHAnsi"/>
                <w:b/>
                <w:lang w:val="sk-SK"/>
              </w:rPr>
              <w:t>Parameter</w:t>
            </w:r>
          </w:p>
        </w:tc>
        <w:tc>
          <w:tcPr>
            <w:tcW w:w="3244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E80629">
              <w:rPr>
                <w:rFonts w:asciiTheme="minorHAnsi" w:hAnsiTheme="minorHAnsi" w:cstheme="minorHAnsi"/>
                <w:b/>
                <w:lang w:val="sk-SK"/>
              </w:rPr>
              <w:t>Fyziologický</w:t>
            </w:r>
            <w:r w:rsidR="00E80629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b/>
                <w:lang w:val="sk-SK"/>
              </w:rPr>
              <w:t>nález</w:t>
            </w:r>
          </w:p>
        </w:tc>
        <w:tc>
          <w:tcPr>
            <w:tcW w:w="3244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E80629">
              <w:rPr>
                <w:rFonts w:asciiTheme="minorHAnsi" w:hAnsiTheme="minorHAnsi" w:cstheme="minorHAnsi"/>
                <w:b/>
                <w:lang w:val="sk-SK"/>
              </w:rPr>
              <w:t>Patologický</w:t>
            </w:r>
            <w:r w:rsidR="00E80629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b/>
                <w:lang w:val="sk-SK"/>
              </w:rPr>
              <w:t>nález</w:t>
            </w:r>
          </w:p>
        </w:tc>
      </w:tr>
      <w:tr w:rsidR="00DA37C3" w:rsidRPr="00E611EB" w:rsidTr="00E80629">
        <w:trPr>
          <w:trHeight w:val="847"/>
        </w:trPr>
        <w:tc>
          <w:tcPr>
            <w:tcW w:w="3243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E80629">
              <w:rPr>
                <w:rFonts w:asciiTheme="minorHAnsi" w:hAnsiTheme="minorHAnsi" w:cstheme="minorHAnsi"/>
                <w:b/>
                <w:lang w:val="sk-SK"/>
              </w:rPr>
              <w:t>Objem</w:t>
            </w:r>
          </w:p>
        </w:tc>
        <w:tc>
          <w:tcPr>
            <w:tcW w:w="3244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E80629">
              <w:rPr>
                <w:rFonts w:asciiTheme="minorHAnsi" w:hAnsiTheme="minorHAnsi" w:cstheme="minorHAnsi"/>
                <w:lang w:val="sk-SK"/>
              </w:rPr>
              <w:t>2000 – 3000ml/24 h</w:t>
            </w:r>
          </w:p>
        </w:tc>
        <w:tc>
          <w:tcPr>
            <w:tcW w:w="3244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E80629">
              <w:rPr>
                <w:rFonts w:asciiTheme="minorHAnsi" w:hAnsiTheme="minorHAnsi" w:cstheme="minorHAnsi"/>
                <w:lang w:val="sk-SK"/>
              </w:rPr>
              <w:t>Hypersekrécia</w:t>
            </w:r>
            <w:proofErr w:type="spellEnd"/>
            <w:r w:rsidRP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E80629" w:rsidRPr="00E80629">
              <w:rPr>
                <w:rFonts w:asciiTheme="minorHAnsi" w:hAnsiTheme="minorHAnsi" w:cstheme="minorHAnsi"/>
                <w:lang w:val="sk-SK"/>
              </w:rPr>
              <w:t>–</w:t>
            </w:r>
            <w:r w:rsidRPr="00E80629">
              <w:rPr>
                <w:rFonts w:asciiTheme="minorHAnsi" w:hAnsiTheme="minorHAnsi" w:cstheme="minorHAnsi"/>
                <w:lang w:val="sk-SK"/>
              </w:rPr>
              <w:t xml:space="preserve"> nadmerný</w:t>
            </w:r>
            <w:r w:rsidR="00E80629" w:rsidRP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objem</w:t>
            </w:r>
          </w:p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E80629">
              <w:rPr>
                <w:rFonts w:asciiTheme="minorHAnsi" w:hAnsiTheme="minorHAnsi" w:cstheme="minorHAnsi"/>
                <w:lang w:val="sk-SK"/>
              </w:rPr>
              <w:t>Hyposekrécia</w:t>
            </w:r>
            <w:proofErr w:type="spellEnd"/>
            <w:r w:rsidRPr="00E80629">
              <w:rPr>
                <w:rFonts w:asciiTheme="minorHAnsi" w:hAnsiTheme="minorHAnsi" w:cstheme="minorHAnsi"/>
                <w:lang w:val="sk-SK"/>
              </w:rPr>
              <w:t xml:space="preserve"> – znížený</w:t>
            </w:r>
            <w:r w:rsidR="00E80629" w:rsidRP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objem</w:t>
            </w:r>
          </w:p>
          <w:p w:rsidR="00DA37C3" w:rsidRPr="00E80629" w:rsidRDefault="00DA37C3" w:rsidP="00E8062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E80629">
              <w:rPr>
                <w:rFonts w:asciiTheme="minorHAnsi" w:hAnsiTheme="minorHAnsi" w:cstheme="minorHAnsi"/>
                <w:lang w:val="sk-SK"/>
              </w:rPr>
              <w:t>Achýlia</w:t>
            </w:r>
            <w:proofErr w:type="spellEnd"/>
            <w:r w:rsidRP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E80629" w:rsidRPr="00E80629">
              <w:rPr>
                <w:rFonts w:asciiTheme="minorHAnsi" w:hAnsiTheme="minorHAnsi" w:cstheme="minorHAnsi"/>
                <w:lang w:val="sk-SK"/>
              </w:rPr>
              <w:t>–</w:t>
            </w:r>
            <w:r w:rsidRPr="00E80629">
              <w:rPr>
                <w:rFonts w:asciiTheme="minorHAnsi" w:hAnsiTheme="minorHAnsi" w:cstheme="minorHAnsi"/>
                <w:lang w:val="sk-SK"/>
              </w:rPr>
              <w:t xml:space="preserve"> úplný</w:t>
            </w:r>
            <w:r w:rsidR="00E80629" w:rsidRP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nedostatok</w:t>
            </w:r>
            <w:r w:rsidR="00E80629" w:rsidRP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šťavy</w:t>
            </w:r>
          </w:p>
        </w:tc>
      </w:tr>
      <w:tr w:rsidR="00DA37C3" w:rsidRPr="00E611EB" w:rsidTr="00E80629">
        <w:trPr>
          <w:trHeight w:val="547"/>
        </w:trPr>
        <w:tc>
          <w:tcPr>
            <w:tcW w:w="3243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E80629">
              <w:rPr>
                <w:rFonts w:asciiTheme="minorHAnsi" w:hAnsiTheme="minorHAnsi" w:cstheme="minorHAnsi"/>
                <w:b/>
                <w:lang w:val="sk-SK"/>
              </w:rPr>
              <w:t>Farba</w:t>
            </w:r>
          </w:p>
        </w:tc>
        <w:tc>
          <w:tcPr>
            <w:tcW w:w="3244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E80629">
              <w:rPr>
                <w:rFonts w:asciiTheme="minorHAnsi" w:hAnsiTheme="minorHAnsi" w:cstheme="minorHAnsi"/>
                <w:lang w:val="sk-SK"/>
              </w:rPr>
              <w:t>Bledá</w:t>
            </w:r>
          </w:p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E80629">
              <w:rPr>
                <w:rFonts w:asciiTheme="minorHAnsi" w:hAnsiTheme="minorHAnsi" w:cstheme="minorHAnsi"/>
                <w:lang w:val="sk-SK"/>
              </w:rPr>
              <w:t>Prímes</w:t>
            </w:r>
            <w:r w:rsidR="00E80629" w:rsidRP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žlče( u 25% zdravých)</w:t>
            </w:r>
          </w:p>
        </w:tc>
        <w:tc>
          <w:tcPr>
            <w:tcW w:w="3244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E80629">
              <w:rPr>
                <w:rFonts w:asciiTheme="minorHAnsi" w:hAnsiTheme="minorHAnsi" w:cstheme="minorHAnsi"/>
                <w:lang w:val="sk-SK"/>
              </w:rPr>
              <w:t>Žltá – prímes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žlče</w:t>
            </w:r>
          </w:p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E80629">
              <w:rPr>
                <w:rFonts w:asciiTheme="minorHAnsi" w:hAnsiTheme="minorHAnsi" w:cstheme="minorHAnsi"/>
                <w:lang w:val="sk-SK"/>
              </w:rPr>
              <w:t>Čierna – prímes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natrávenej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krvi</w:t>
            </w:r>
          </w:p>
        </w:tc>
      </w:tr>
      <w:tr w:rsidR="00DA37C3" w:rsidRPr="00E611EB" w:rsidTr="00E80629">
        <w:trPr>
          <w:trHeight w:val="839"/>
        </w:trPr>
        <w:tc>
          <w:tcPr>
            <w:tcW w:w="3243" w:type="dxa"/>
          </w:tcPr>
          <w:p w:rsidR="00DA37C3" w:rsidRPr="00E80629" w:rsidRDefault="00E611EB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E80629">
              <w:rPr>
                <w:rFonts w:asciiTheme="minorHAnsi" w:hAnsiTheme="minorHAnsi" w:cstheme="minorHAnsi"/>
                <w:b/>
                <w:lang w:val="sk-SK"/>
              </w:rPr>
              <w:t>Zápach</w:t>
            </w:r>
          </w:p>
        </w:tc>
        <w:tc>
          <w:tcPr>
            <w:tcW w:w="3244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E80629">
              <w:rPr>
                <w:rFonts w:asciiTheme="minorHAnsi" w:hAnsiTheme="minorHAnsi" w:cstheme="minorHAnsi"/>
                <w:lang w:val="sk-SK"/>
              </w:rPr>
              <w:t>kyslý</w:t>
            </w:r>
          </w:p>
        </w:tc>
        <w:tc>
          <w:tcPr>
            <w:tcW w:w="3244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E80629">
              <w:rPr>
                <w:rFonts w:asciiTheme="minorHAnsi" w:hAnsiTheme="minorHAnsi" w:cstheme="minorHAnsi"/>
                <w:lang w:val="sk-SK"/>
              </w:rPr>
              <w:t>Hnilobný – karcinóm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žalúdka</w:t>
            </w:r>
          </w:p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E80629">
              <w:rPr>
                <w:rFonts w:asciiTheme="minorHAnsi" w:hAnsiTheme="minorHAnsi" w:cstheme="minorHAnsi"/>
                <w:lang w:val="sk-SK"/>
              </w:rPr>
              <w:t>Podľa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druhu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použitej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látky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pri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otravách</w:t>
            </w:r>
          </w:p>
        </w:tc>
      </w:tr>
    </w:tbl>
    <w:p w:rsidR="00E611EB" w:rsidRDefault="00E611EB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611EB" w:rsidRDefault="00E611EB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121FE" w:rsidRDefault="002121FE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121FE" w:rsidRDefault="002121FE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121FE" w:rsidRDefault="002121FE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121FE" w:rsidRDefault="002121FE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121FE" w:rsidRDefault="002121FE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121FE" w:rsidRDefault="002121FE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121FE" w:rsidRDefault="002121FE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121FE" w:rsidRDefault="002121FE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121FE" w:rsidRDefault="002121FE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121FE" w:rsidRDefault="002121FE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121FE" w:rsidRDefault="002121FE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121FE" w:rsidRDefault="002121FE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A37C3" w:rsidRPr="00E80629" w:rsidRDefault="00DA37C3" w:rsidP="00DA37C3">
      <w:pPr>
        <w:spacing w:after="0" w:line="240" w:lineRule="auto"/>
        <w:jc w:val="both"/>
        <w:rPr>
          <w:rFonts w:asciiTheme="minorHAnsi" w:hAnsiTheme="minorHAnsi" w:cstheme="minorHAnsi"/>
          <w:b/>
          <w:lang w:val="sk-SK"/>
        </w:rPr>
      </w:pPr>
      <w:r w:rsidRPr="00E80629">
        <w:rPr>
          <w:rFonts w:asciiTheme="minorHAnsi" w:hAnsiTheme="minorHAnsi" w:cstheme="minorHAnsi"/>
          <w:b/>
          <w:lang w:val="sk-SK"/>
        </w:rPr>
        <w:t>Tabuľka č. 2 Biochemické a </w:t>
      </w:r>
      <w:proofErr w:type="spellStart"/>
      <w:r w:rsidRPr="00E80629">
        <w:rPr>
          <w:rFonts w:asciiTheme="minorHAnsi" w:hAnsiTheme="minorHAnsi" w:cstheme="minorHAnsi"/>
          <w:b/>
          <w:lang w:val="sk-SK"/>
        </w:rPr>
        <w:t>mikroskopickévyšetrenie</w:t>
      </w:r>
      <w:proofErr w:type="spellEnd"/>
    </w:p>
    <w:p w:rsidR="00DA37C3" w:rsidRPr="00E80629" w:rsidRDefault="00DA37C3" w:rsidP="00DA37C3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DA37C3" w:rsidRPr="00E80629" w:rsidTr="003B4E92">
        <w:tc>
          <w:tcPr>
            <w:tcW w:w="3070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E80629">
              <w:rPr>
                <w:rFonts w:asciiTheme="minorHAnsi" w:hAnsiTheme="minorHAnsi" w:cstheme="minorHAnsi"/>
                <w:b/>
                <w:lang w:val="sk-SK"/>
              </w:rPr>
              <w:t>Parameter</w:t>
            </w:r>
          </w:p>
        </w:tc>
        <w:tc>
          <w:tcPr>
            <w:tcW w:w="3071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proofErr w:type="spellStart"/>
            <w:r w:rsidRPr="00E80629">
              <w:rPr>
                <w:rFonts w:asciiTheme="minorHAnsi" w:hAnsiTheme="minorHAnsi" w:cstheme="minorHAnsi"/>
                <w:b/>
                <w:lang w:val="sk-SK"/>
              </w:rPr>
              <w:t>Fyziologickýnález</w:t>
            </w:r>
            <w:proofErr w:type="spellEnd"/>
          </w:p>
        </w:tc>
        <w:tc>
          <w:tcPr>
            <w:tcW w:w="3071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proofErr w:type="spellStart"/>
            <w:r w:rsidRPr="00E80629">
              <w:rPr>
                <w:rFonts w:asciiTheme="minorHAnsi" w:hAnsiTheme="minorHAnsi" w:cstheme="minorHAnsi"/>
                <w:b/>
                <w:lang w:val="sk-SK"/>
              </w:rPr>
              <w:t>Patologickýnález</w:t>
            </w:r>
            <w:proofErr w:type="spellEnd"/>
          </w:p>
        </w:tc>
      </w:tr>
      <w:tr w:rsidR="00DA37C3" w:rsidRPr="00E80629" w:rsidTr="003B4E92">
        <w:tc>
          <w:tcPr>
            <w:tcW w:w="3070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E80629">
              <w:rPr>
                <w:rFonts w:asciiTheme="minorHAnsi" w:hAnsiTheme="minorHAnsi" w:cstheme="minorHAnsi"/>
                <w:b/>
                <w:lang w:val="sk-SK"/>
              </w:rPr>
              <w:t>Kyslosť</w:t>
            </w:r>
          </w:p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E80629">
              <w:rPr>
                <w:rFonts w:asciiTheme="minorHAnsi" w:hAnsiTheme="minorHAnsi" w:cstheme="minorHAnsi"/>
                <w:b/>
                <w:lang w:val="sk-SK"/>
              </w:rPr>
              <w:t>(</w:t>
            </w:r>
            <w:proofErr w:type="spellStart"/>
            <w:r w:rsidRPr="00E80629">
              <w:rPr>
                <w:rFonts w:asciiTheme="minorHAnsi" w:hAnsiTheme="minorHAnsi" w:cstheme="minorHAnsi"/>
                <w:b/>
                <w:lang w:val="sk-SK"/>
              </w:rPr>
              <w:t>acidita</w:t>
            </w:r>
            <w:proofErr w:type="spellEnd"/>
            <w:r w:rsidRPr="00E80629">
              <w:rPr>
                <w:rFonts w:asciiTheme="minorHAnsi" w:hAnsiTheme="minorHAnsi" w:cstheme="minorHAnsi"/>
                <w:b/>
                <w:lang w:val="sk-SK"/>
              </w:rPr>
              <w:t>)</w:t>
            </w:r>
          </w:p>
        </w:tc>
        <w:tc>
          <w:tcPr>
            <w:tcW w:w="3071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E80629">
              <w:rPr>
                <w:rFonts w:asciiTheme="minorHAnsi" w:hAnsiTheme="minorHAnsi" w:cstheme="minorHAnsi"/>
                <w:lang w:val="sk-SK"/>
              </w:rPr>
              <w:t>Normoacidita</w:t>
            </w:r>
            <w:proofErr w:type="spellEnd"/>
            <w:r w:rsidRPr="00E80629">
              <w:rPr>
                <w:rFonts w:asciiTheme="minorHAnsi" w:hAnsiTheme="minorHAnsi" w:cstheme="minorHAnsi"/>
                <w:lang w:val="sk-SK"/>
              </w:rPr>
              <w:t xml:space="preserve"> – vyvážený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pomer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voľnej a viazanej HCI</w:t>
            </w:r>
          </w:p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E80629">
              <w:rPr>
                <w:rFonts w:asciiTheme="minorHAnsi" w:hAnsiTheme="minorHAnsi" w:cstheme="minorHAnsi"/>
                <w:lang w:val="sk-SK"/>
              </w:rPr>
              <w:t>Normochlórhydria</w:t>
            </w:r>
            <w:proofErr w:type="spellEnd"/>
            <w:r w:rsidRPr="00E80629">
              <w:rPr>
                <w:rFonts w:asciiTheme="minorHAnsi" w:hAnsiTheme="minorHAnsi" w:cstheme="minorHAnsi"/>
                <w:lang w:val="sk-SK"/>
              </w:rPr>
              <w:t xml:space="preserve"> – pH = 1,5 - 2</w:t>
            </w:r>
          </w:p>
        </w:tc>
        <w:tc>
          <w:tcPr>
            <w:tcW w:w="3071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E80629">
              <w:rPr>
                <w:rFonts w:asciiTheme="minorHAnsi" w:hAnsiTheme="minorHAnsi" w:cstheme="minorHAnsi"/>
                <w:lang w:val="sk-SK"/>
              </w:rPr>
              <w:t>Hyperacidita</w:t>
            </w:r>
            <w:proofErr w:type="spellEnd"/>
            <w:r w:rsidRPr="00E80629">
              <w:rPr>
                <w:rFonts w:asciiTheme="minorHAnsi" w:hAnsiTheme="minorHAnsi" w:cstheme="minorHAnsi"/>
                <w:lang w:val="sk-SK"/>
              </w:rPr>
              <w:t>= znížené pH, celková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zvýšená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kyslosť</w:t>
            </w:r>
          </w:p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E80629">
              <w:rPr>
                <w:rFonts w:asciiTheme="minorHAnsi" w:hAnsiTheme="minorHAnsi" w:cstheme="minorHAnsi"/>
                <w:lang w:val="sk-SK"/>
              </w:rPr>
              <w:t>Hypoacidita</w:t>
            </w:r>
            <w:proofErr w:type="spellEnd"/>
            <w:r w:rsidRPr="00E80629">
              <w:rPr>
                <w:rFonts w:asciiTheme="minorHAnsi" w:hAnsiTheme="minorHAnsi" w:cstheme="minorHAnsi"/>
                <w:lang w:val="sk-SK"/>
              </w:rPr>
              <w:t xml:space="preserve"> = zvýšené pH, celková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znížená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kyslosť</w:t>
            </w:r>
          </w:p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E80629">
              <w:rPr>
                <w:rFonts w:asciiTheme="minorHAnsi" w:hAnsiTheme="minorHAnsi" w:cstheme="minorHAnsi"/>
                <w:lang w:val="sk-SK"/>
              </w:rPr>
              <w:t>Anacidita</w:t>
            </w:r>
            <w:proofErr w:type="spellEnd"/>
            <w:r w:rsidRPr="00E80629">
              <w:rPr>
                <w:rFonts w:asciiTheme="minorHAnsi" w:hAnsiTheme="minorHAnsi" w:cstheme="minorHAnsi"/>
                <w:lang w:val="sk-SK"/>
              </w:rPr>
              <w:t xml:space="preserve"> =pH, ani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po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stimulácii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neklesá po6, chýba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voľná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i viazaná HCI</w:t>
            </w:r>
          </w:p>
        </w:tc>
      </w:tr>
      <w:tr w:rsidR="00DA37C3" w:rsidRPr="00E80629" w:rsidTr="003B4E92">
        <w:tc>
          <w:tcPr>
            <w:tcW w:w="3070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E80629">
              <w:rPr>
                <w:rFonts w:asciiTheme="minorHAnsi" w:hAnsiTheme="minorHAnsi" w:cstheme="minorHAnsi"/>
                <w:b/>
                <w:lang w:val="sk-SK"/>
              </w:rPr>
              <w:t>Výskyt</w:t>
            </w:r>
            <w:r w:rsidR="00E80629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b/>
                <w:lang w:val="sk-SK"/>
              </w:rPr>
              <w:t>voľnej HCI</w:t>
            </w:r>
          </w:p>
        </w:tc>
        <w:tc>
          <w:tcPr>
            <w:tcW w:w="3071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E80629">
              <w:rPr>
                <w:rFonts w:asciiTheme="minorHAnsi" w:hAnsiTheme="minorHAnsi" w:cstheme="minorHAnsi"/>
                <w:lang w:val="sk-SK"/>
              </w:rPr>
              <w:t>Normochlórhydria</w:t>
            </w:r>
            <w:proofErr w:type="spellEnd"/>
            <w:r w:rsidRPr="00E80629">
              <w:rPr>
                <w:rFonts w:asciiTheme="minorHAnsi" w:hAnsiTheme="minorHAnsi" w:cstheme="minorHAnsi"/>
                <w:lang w:val="sk-SK"/>
              </w:rPr>
              <w:t xml:space="preserve"> – pH= 1,5 - 2</w:t>
            </w:r>
          </w:p>
        </w:tc>
        <w:tc>
          <w:tcPr>
            <w:tcW w:w="3071" w:type="dxa"/>
          </w:tcPr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E80629">
              <w:rPr>
                <w:rFonts w:asciiTheme="minorHAnsi" w:hAnsiTheme="minorHAnsi" w:cstheme="minorHAnsi"/>
                <w:lang w:val="sk-SK"/>
              </w:rPr>
              <w:t>Hyperchlórhydria</w:t>
            </w:r>
            <w:proofErr w:type="spellEnd"/>
            <w:r w:rsidRPr="00E80629">
              <w:rPr>
                <w:rFonts w:asciiTheme="minorHAnsi" w:hAnsiTheme="minorHAnsi" w:cstheme="minorHAnsi"/>
                <w:lang w:val="sk-SK"/>
              </w:rPr>
              <w:t xml:space="preserve"> – zvýšený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výskyt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E80629">
              <w:rPr>
                <w:rFonts w:asciiTheme="minorHAnsi" w:hAnsiTheme="minorHAnsi" w:cstheme="minorHAnsi"/>
                <w:lang w:val="sk-SK"/>
              </w:rPr>
              <w:t>HCl</w:t>
            </w:r>
            <w:proofErr w:type="spellEnd"/>
          </w:p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E80629">
              <w:rPr>
                <w:rFonts w:asciiTheme="minorHAnsi" w:hAnsiTheme="minorHAnsi" w:cstheme="minorHAnsi"/>
                <w:lang w:val="sk-SK"/>
              </w:rPr>
              <w:lastRenderedPageBreak/>
              <w:t>Hypochlóhydria</w:t>
            </w:r>
            <w:proofErr w:type="spellEnd"/>
            <w:r w:rsidRPr="00E80629">
              <w:rPr>
                <w:rFonts w:asciiTheme="minorHAnsi" w:hAnsiTheme="minorHAnsi" w:cstheme="minorHAnsi"/>
                <w:lang w:val="sk-SK"/>
              </w:rPr>
              <w:t xml:space="preserve"> – znížený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E80629">
              <w:rPr>
                <w:rFonts w:asciiTheme="minorHAnsi" w:hAnsiTheme="minorHAnsi" w:cstheme="minorHAnsi"/>
                <w:lang w:val="sk-SK"/>
              </w:rPr>
              <w:t>výskytHCl</w:t>
            </w:r>
            <w:proofErr w:type="spellEnd"/>
          </w:p>
          <w:p w:rsidR="00DA37C3" w:rsidRPr="00E80629" w:rsidRDefault="00DA37C3" w:rsidP="003B4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E80629">
              <w:rPr>
                <w:rFonts w:asciiTheme="minorHAnsi" w:hAnsiTheme="minorHAnsi" w:cstheme="minorHAnsi"/>
                <w:lang w:val="sk-SK"/>
              </w:rPr>
              <w:t>Achlórhydria</w:t>
            </w:r>
            <w:proofErr w:type="spellEnd"/>
            <w:r w:rsidRPr="00E80629">
              <w:rPr>
                <w:rFonts w:asciiTheme="minorHAnsi" w:hAnsiTheme="minorHAnsi" w:cstheme="minorHAnsi"/>
                <w:lang w:val="sk-SK"/>
              </w:rPr>
              <w:t xml:space="preserve">  - </w:t>
            </w:r>
            <w:proofErr w:type="spellStart"/>
            <w:r w:rsidRPr="00E80629">
              <w:rPr>
                <w:rFonts w:asciiTheme="minorHAnsi" w:hAnsiTheme="minorHAnsi" w:cstheme="minorHAnsi"/>
                <w:lang w:val="sk-SK"/>
              </w:rPr>
              <w:t>HCl</w:t>
            </w:r>
            <w:proofErr w:type="spellEnd"/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chýba, šťava</w:t>
            </w:r>
            <w:r w:rsidR="00E8062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E80629">
              <w:rPr>
                <w:rFonts w:asciiTheme="minorHAnsi" w:hAnsiTheme="minorHAnsi" w:cstheme="minorHAnsi"/>
                <w:lang w:val="sk-SK"/>
              </w:rPr>
              <w:t>nie je kyslá</w:t>
            </w:r>
          </w:p>
        </w:tc>
      </w:tr>
    </w:tbl>
    <w:p w:rsidR="00DA37C3" w:rsidRPr="00E611EB" w:rsidRDefault="00DA37C3" w:rsidP="00DA37C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A37C3" w:rsidRPr="00E611EB" w:rsidRDefault="00DA37C3" w:rsidP="00DA37C3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A37C3" w:rsidRPr="00E80629" w:rsidRDefault="00DA37C3" w:rsidP="00DA37C3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proofErr w:type="spellStart"/>
      <w:r w:rsidRPr="00E80629">
        <w:rPr>
          <w:rFonts w:asciiTheme="minorHAnsi" w:hAnsiTheme="minorHAnsi" w:cstheme="minorHAnsi"/>
          <w:b/>
          <w:lang w:val="sk-SK"/>
        </w:rPr>
        <w:t>Duodenálna</w:t>
      </w:r>
      <w:proofErr w:type="spellEnd"/>
      <w:r w:rsidR="00E80629" w:rsidRPr="00E80629">
        <w:rPr>
          <w:rFonts w:asciiTheme="minorHAnsi" w:hAnsiTheme="minorHAnsi" w:cstheme="minorHAnsi"/>
          <w:b/>
          <w:lang w:val="sk-SK"/>
        </w:rPr>
        <w:t xml:space="preserve"> </w:t>
      </w:r>
      <w:r w:rsidRPr="00E80629">
        <w:rPr>
          <w:rFonts w:asciiTheme="minorHAnsi" w:hAnsiTheme="minorHAnsi" w:cstheme="minorHAnsi"/>
          <w:b/>
          <w:lang w:val="sk-SK"/>
        </w:rPr>
        <w:t>šťava</w:t>
      </w:r>
      <w:r w:rsidR="00E80629" w:rsidRPr="00E80629">
        <w:rPr>
          <w:rFonts w:asciiTheme="minorHAnsi" w:hAnsiTheme="minorHAnsi" w:cstheme="minorHAnsi"/>
          <w:b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sa</w:t>
      </w:r>
      <w:r w:rsidR="00E80629" w:rsidRP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odoberá</w:t>
      </w:r>
      <w:r w:rsidR="00E80629" w:rsidRP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na</w:t>
      </w:r>
      <w:r w:rsidR="00E80629" w:rsidRP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biochemické, mikroskopické, parazitologické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vyšetrenie. Je číra, má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svetložltú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farbu a pH 7,5 -9</w:t>
      </w:r>
    </w:p>
    <w:p w:rsidR="00DA37C3" w:rsidRPr="00E80629" w:rsidRDefault="00DA37C3" w:rsidP="00DA37C3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E80629">
        <w:rPr>
          <w:rFonts w:asciiTheme="minorHAnsi" w:hAnsiTheme="minorHAnsi" w:cstheme="minorHAnsi"/>
          <w:b/>
          <w:lang w:val="sk-SK"/>
        </w:rPr>
        <w:t>Na biochemické a</w:t>
      </w:r>
      <w:r w:rsidR="00E80629">
        <w:rPr>
          <w:rFonts w:asciiTheme="minorHAnsi" w:hAnsiTheme="minorHAnsi" w:cstheme="minorHAnsi"/>
          <w:b/>
          <w:lang w:val="sk-SK"/>
        </w:rPr>
        <w:t> </w:t>
      </w:r>
      <w:r w:rsidRPr="00E80629">
        <w:rPr>
          <w:rFonts w:asciiTheme="minorHAnsi" w:hAnsiTheme="minorHAnsi" w:cstheme="minorHAnsi"/>
          <w:b/>
          <w:lang w:val="sk-SK"/>
        </w:rPr>
        <w:t>mikroskopické</w:t>
      </w:r>
      <w:r w:rsidR="00E80629">
        <w:rPr>
          <w:rFonts w:asciiTheme="minorHAnsi" w:hAnsiTheme="minorHAnsi" w:cstheme="minorHAnsi"/>
          <w:b/>
          <w:lang w:val="sk-SK"/>
        </w:rPr>
        <w:t xml:space="preserve"> </w:t>
      </w:r>
      <w:r w:rsidRPr="00E80629">
        <w:rPr>
          <w:rFonts w:asciiTheme="minorHAnsi" w:hAnsiTheme="minorHAnsi" w:cstheme="minorHAnsi"/>
          <w:b/>
          <w:lang w:val="sk-SK"/>
        </w:rPr>
        <w:t>vyšetrenie</w:t>
      </w:r>
      <w:r w:rsidR="00E80629">
        <w:rPr>
          <w:rFonts w:asciiTheme="minorHAnsi" w:hAnsiTheme="minorHAnsi" w:cstheme="minorHAnsi"/>
          <w:b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sestra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jednorázovo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odsaje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celý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obsah</w:t>
      </w:r>
      <w:r w:rsidR="00E80629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E80629">
        <w:rPr>
          <w:rFonts w:asciiTheme="minorHAnsi" w:hAnsiTheme="minorHAnsi" w:cstheme="minorHAnsi"/>
          <w:lang w:val="sk-SK"/>
        </w:rPr>
        <w:t>duodenálnej</w:t>
      </w:r>
      <w:proofErr w:type="spellEnd"/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šťavy.</w:t>
      </w:r>
    </w:p>
    <w:p w:rsidR="00DA37C3" w:rsidRPr="00E80629" w:rsidRDefault="00DA37C3" w:rsidP="00DA37C3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E80629">
        <w:rPr>
          <w:rFonts w:asciiTheme="minorHAnsi" w:hAnsiTheme="minorHAnsi" w:cstheme="minorHAnsi"/>
          <w:b/>
          <w:lang w:val="sk-SK"/>
        </w:rPr>
        <w:t>Na vyšetrenie</w:t>
      </w:r>
      <w:r w:rsidR="00E80629">
        <w:rPr>
          <w:rFonts w:asciiTheme="minorHAnsi" w:hAnsiTheme="minorHAnsi" w:cstheme="minorHAnsi"/>
          <w:b/>
          <w:lang w:val="sk-SK"/>
        </w:rPr>
        <w:t xml:space="preserve"> </w:t>
      </w:r>
      <w:r w:rsidRPr="00E80629">
        <w:rPr>
          <w:rFonts w:asciiTheme="minorHAnsi" w:hAnsiTheme="minorHAnsi" w:cstheme="minorHAnsi"/>
          <w:b/>
          <w:lang w:val="sk-SK"/>
        </w:rPr>
        <w:t>enzymatických</w:t>
      </w:r>
      <w:r w:rsidR="00E80629">
        <w:rPr>
          <w:rFonts w:asciiTheme="minorHAnsi" w:hAnsiTheme="minorHAnsi" w:cstheme="minorHAnsi"/>
          <w:b/>
          <w:lang w:val="sk-SK"/>
        </w:rPr>
        <w:t xml:space="preserve"> </w:t>
      </w:r>
      <w:r w:rsidRPr="00E80629">
        <w:rPr>
          <w:rFonts w:asciiTheme="minorHAnsi" w:hAnsiTheme="minorHAnsi" w:cstheme="minorHAnsi"/>
          <w:b/>
          <w:lang w:val="sk-SK"/>
        </w:rPr>
        <w:t>aktivít</w:t>
      </w:r>
      <w:r w:rsidR="00E80629">
        <w:rPr>
          <w:rFonts w:asciiTheme="minorHAnsi" w:hAnsiTheme="minorHAnsi" w:cstheme="minorHAnsi"/>
          <w:b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sestra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odoberá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šťavu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priamo do skúmaviek, ktoré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sú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postavené v</w:t>
      </w:r>
      <w:r w:rsidR="00E80629">
        <w:rPr>
          <w:rFonts w:asciiTheme="minorHAnsi" w:hAnsiTheme="minorHAnsi" w:cstheme="minorHAnsi"/>
          <w:lang w:val="sk-SK"/>
        </w:rPr>
        <w:t> </w:t>
      </w:r>
      <w:r w:rsidRPr="00E80629">
        <w:rPr>
          <w:rFonts w:asciiTheme="minorHAnsi" w:hAnsiTheme="minorHAnsi" w:cstheme="minorHAnsi"/>
          <w:lang w:val="sk-SK"/>
        </w:rPr>
        <w:t>ľadovej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drvine.</w:t>
      </w:r>
    </w:p>
    <w:p w:rsidR="00DA37C3" w:rsidRPr="00E80629" w:rsidRDefault="00DA37C3" w:rsidP="00DA37C3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E80629">
        <w:rPr>
          <w:rFonts w:asciiTheme="minorHAnsi" w:hAnsiTheme="minorHAnsi" w:cstheme="minorHAnsi"/>
          <w:b/>
          <w:lang w:val="sk-SK"/>
        </w:rPr>
        <w:t>Na parazitologické</w:t>
      </w:r>
      <w:r w:rsidR="00E80629">
        <w:rPr>
          <w:rFonts w:asciiTheme="minorHAnsi" w:hAnsiTheme="minorHAnsi" w:cstheme="minorHAnsi"/>
          <w:b/>
          <w:lang w:val="sk-SK"/>
        </w:rPr>
        <w:t xml:space="preserve"> </w:t>
      </w:r>
      <w:r w:rsidRPr="00E80629">
        <w:rPr>
          <w:rFonts w:asciiTheme="minorHAnsi" w:hAnsiTheme="minorHAnsi" w:cstheme="minorHAnsi"/>
          <w:b/>
          <w:lang w:val="sk-SK"/>
        </w:rPr>
        <w:t>vyšetrenie</w:t>
      </w:r>
      <w:r w:rsidRPr="00E80629">
        <w:rPr>
          <w:rFonts w:asciiTheme="minorHAnsi" w:hAnsiTheme="minorHAnsi" w:cstheme="minorHAnsi"/>
          <w:lang w:val="sk-SK"/>
        </w:rPr>
        <w:t>(diagnostika</w:t>
      </w:r>
      <w:r w:rsidR="00E80629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E80629">
        <w:rPr>
          <w:rFonts w:asciiTheme="minorHAnsi" w:hAnsiTheme="minorHAnsi" w:cstheme="minorHAnsi"/>
          <w:lang w:val="sk-SK"/>
        </w:rPr>
        <w:t>Lamblia</w:t>
      </w:r>
      <w:proofErr w:type="spellEnd"/>
      <w:r w:rsidR="00E80629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E80629">
        <w:rPr>
          <w:rFonts w:asciiTheme="minorHAnsi" w:hAnsiTheme="minorHAnsi" w:cstheme="minorHAnsi"/>
          <w:lang w:val="sk-SK"/>
        </w:rPr>
        <w:t>intestinalis</w:t>
      </w:r>
      <w:proofErr w:type="spellEnd"/>
      <w:r w:rsidRPr="00E80629">
        <w:rPr>
          <w:rFonts w:asciiTheme="minorHAnsi" w:hAnsiTheme="minorHAnsi" w:cstheme="minorHAnsi"/>
          <w:lang w:val="sk-SK"/>
        </w:rPr>
        <w:t>) odoberá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dvanástnikovú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šťavu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priamo do sterilných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skúmaviek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uložených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vo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vodnom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kúpeli</w:t>
      </w:r>
      <w:r w:rsidR="00E80629">
        <w:rPr>
          <w:rFonts w:asciiTheme="minorHAnsi" w:hAnsiTheme="minorHAnsi" w:cstheme="minorHAnsi"/>
          <w:lang w:val="sk-SK"/>
        </w:rPr>
        <w:t xml:space="preserve"> </w:t>
      </w:r>
      <w:r w:rsidRPr="00E80629">
        <w:rPr>
          <w:rFonts w:asciiTheme="minorHAnsi" w:hAnsiTheme="minorHAnsi" w:cstheme="minorHAnsi"/>
          <w:lang w:val="sk-SK"/>
        </w:rPr>
        <w:t>teplom  37°C.</w:t>
      </w:r>
    </w:p>
    <w:p w:rsidR="00DA37C3" w:rsidRPr="00E80629" w:rsidRDefault="00DA37C3" w:rsidP="00DA37C3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sk-SK"/>
        </w:rPr>
      </w:pPr>
    </w:p>
    <w:p w:rsidR="00DA37C3" w:rsidRPr="00E611EB" w:rsidRDefault="00DA37C3" w:rsidP="00DA37C3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A37C3" w:rsidRPr="00E611EB" w:rsidRDefault="00DA37C3" w:rsidP="00DA37C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A37C3" w:rsidRPr="00E611EB" w:rsidRDefault="00DA37C3" w:rsidP="00DA37C3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A37C3" w:rsidRPr="00E611EB" w:rsidRDefault="00DA37C3" w:rsidP="00DA37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sectPr w:rsidR="00DA37C3" w:rsidRPr="00E611EB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8"/>
  <w:hyphenationZone w:val="425"/>
  <w:characterSpacingControl w:val="doNotCompress"/>
  <w:compat/>
  <w:rsids>
    <w:rsidRoot w:val="007A6083"/>
    <w:rsid w:val="00023782"/>
    <w:rsid w:val="000A3FB1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B43F2"/>
    <w:rsid w:val="001E4996"/>
    <w:rsid w:val="001F5B9E"/>
    <w:rsid w:val="002121FE"/>
    <w:rsid w:val="00235B1D"/>
    <w:rsid w:val="00263CCF"/>
    <w:rsid w:val="00272958"/>
    <w:rsid w:val="002B5428"/>
    <w:rsid w:val="002D3614"/>
    <w:rsid w:val="002D4A57"/>
    <w:rsid w:val="002E7AB7"/>
    <w:rsid w:val="002F1A22"/>
    <w:rsid w:val="00310B27"/>
    <w:rsid w:val="00371D43"/>
    <w:rsid w:val="003878CF"/>
    <w:rsid w:val="003A2AAA"/>
    <w:rsid w:val="003F3EC8"/>
    <w:rsid w:val="003F64F2"/>
    <w:rsid w:val="003F69B3"/>
    <w:rsid w:val="0042271D"/>
    <w:rsid w:val="004465AB"/>
    <w:rsid w:val="00473BA7"/>
    <w:rsid w:val="004C6B17"/>
    <w:rsid w:val="004F1AFB"/>
    <w:rsid w:val="00535042"/>
    <w:rsid w:val="00590A64"/>
    <w:rsid w:val="005B2CBC"/>
    <w:rsid w:val="005C0958"/>
    <w:rsid w:val="005C7D30"/>
    <w:rsid w:val="00643358"/>
    <w:rsid w:val="006437D8"/>
    <w:rsid w:val="00653F62"/>
    <w:rsid w:val="00654BC6"/>
    <w:rsid w:val="00664534"/>
    <w:rsid w:val="006E5DAA"/>
    <w:rsid w:val="00763EC6"/>
    <w:rsid w:val="007A1E76"/>
    <w:rsid w:val="007A6083"/>
    <w:rsid w:val="007D09EE"/>
    <w:rsid w:val="007D5B3A"/>
    <w:rsid w:val="008129D1"/>
    <w:rsid w:val="00862E95"/>
    <w:rsid w:val="00874147"/>
    <w:rsid w:val="008828CB"/>
    <w:rsid w:val="008A0E1B"/>
    <w:rsid w:val="008A2D80"/>
    <w:rsid w:val="00921500"/>
    <w:rsid w:val="00951A71"/>
    <w:rsid w:val="00962D2F"/>
    <w:rsid w:val="00994E0B"/>
    <w:rsid w:val="00995F03"/>
    <w:rsid w:val="009C334A"/>
    <w:rsid w:val="009D0AE2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F2D72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47910"/>
    <w:rsid w:val="00C63096"/>
    <w:rsid w:val="00C64D67"/>
    <w:rsid w:val="00CA77BD"/>
    <w:rsid w:val="00CA7B7B"/>
    <w:rsid w:val="00CF504A"/>
    <w:rsid w:val="00D115E7"/>
    <w:rsid w:val="00D14DA4"/>
    <w:rsid w:val="00D4014C"/>
    <w:rsid w:val="00D40CCF"/>
    <w:rsid w:val="00D974D7"/>
    <w:rsid w:val="00DA03C4"/>
    <w:rsid w:val="00DA37C3"/>
    <w:rsid w:val="00DD1593"/>
    <w:rsid w:val="00DD4115"/>
    <w:rsid w:val="00E056D9"/>
    <w:rsid w:val="00E12AAB"/>
    <w:rsid w:val="00E20DE1"/>
    <w:rsid w:val="00E24625"/>
    <w:rsid w:val="00E31681"/>
    <w:rsid w:val="00E36E44"/>
    <w:rsid w:val="00E611EB"/>
    <w:rsid w:val="00E624C3"/>
    <w:rsid w:val="00E80629"/>
    <w:rsid w:val="00EA0C31"/>
    <w:rsid w:val="00EB24A4"/>
    <w:rsid w:val="00EF1814"/>
    <w:rsid w:val="00F21921"/>
    <w:rsid w:val="00F44443"/>
    <w:rsid w:val="00F6326F"/>
    <w:rsid w:val="00F83538"/>
    <w:rsid w:val="00F9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D2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99"/>
    <w:qFormat/>
    <w:rsid w:val="008A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48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PC</cp:lastModifiedBy>
  <cp:revision>7</cp:revision>
  <dcterms:created xsi:type="dcterms:W3CDTF">2019-07-04T09:40:00Z</dcterms:created>
  <dcterms:modified xsi:type="dcterms:W3CDTF">2019-09-07T15:49:00Z</dcterms:modified>
</cp:coreProperties>
</file>