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1" w:rsidRDefault="00BE3731" w:rsidP="00BE3731">
      <w:pPr>
        <w:pStyle w:val="Nagwek2"/>
        <w:spacing w:before="750" w:beforeAutospacing="0" w:after="450" w:afterAutospacing="0"/>
        <w:rPr>
          <w:rFonts w:ascii="&amp;quot" w:hAnsi="&amp;quot"/>
          <w:color w:val="333333"/>
          <w:sz w:val="42"/>
          <w:szCs w:val="42"/>
        </w:rPr>
      </w:pPr>
      <w:r>
        <w:rPr>
          <w:rFonts w:ascii="&amp;quot" w:hAnsi="&amp;quot"/>
          <w:color w:val="333333"/>
          <w:sz w:val="42"/>
          <w:szCs w:val="42"/>
        </w:rPr>
        <w:t>Karty do nauki czytania – kiedy ich użyć?</w:t>
      </w:r>
    </w:p>
    <w:p w:rsidR="00BE3731" w:rsidRDefault="00BE3731" w:rsidP="00BE3731">
      <w:pPr>
        <w:pStyle w:val="NormalnyWeb"/>
        <w:spacing w:before="0" w:beforeAutospacing="0" w:after="0" w:afterAutospacing="0" w:line="432" w:lineRule="auto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Na wstępie warto wiedzieć, że adresatami przygotowanej pomocy są przedszkolaki, które rozpoznają litery lub odczytują przynajmniej część liter. Jeśli dziecko dopiero rozpoczyna przygodę z literami, warto skorzystać z innych pomocy i propozycji gier i zabaw. Możesz o tym przeczytać </w:t>
      </w:r>
      <w:hyperlink r:id="rId5" w:history="1">
        <w:r>
          <w:rPr>
            <w:rStyle w:val="Hipercze"/>
            <w:rFonts w:ascii="inherit" w:hAnsi="inherit"/>
            <w:color w:val="13C4A5"/>
          </w:rPr>
          <w:t>TUTAJ (Jak uczyć dziecko czytać?). </w:t>
        </w:r>
      </w:hyperlink>
    </w:p>
    <w:p w:rsidR="00BE3731" w:rsidRPr="00BE3731" w:rsidRDefault="00BE3731" w:rsidP="00BE3731">
      <w:pPr>
        <w:spacing w:before="750" w:after="450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  <w:t>Karty do nauki czytania – jak z nich skorzystać?</w:t>
      </w:r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Na start warto wiedzieć, że nie każda karta pracy będzie odpowiednia na początkowym etapie nauki czytania. Przygotowany zestaw zawiera zróżnicowany materiał wyrazowy. W zależności od wieku i umiejętności dziecka, należy wybrać tylko te karty, które znajdują się w strefie najbliższego rozwoju dziecka. O czym warto wiedzieć?</w:t>
      </w:r>
    </w:p>
    <w:p w:rsidR="00BE3731" w:rsidRPr="00BE3731" w:rsidRDefault="00BE3731" w:rsidP="00BE3731">
      <w:pPr>
        <w:spacing w:before="750" w:after="450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  <w:t>Jakie karty wybrać we wczesnym etapie nauki czytania?</w:t>
      </w:r>
    </w:p>
    <w:p w:rsidR="00BE3731" w:rsidRPr="00BE3731" w:rsidRDefault="00BE3731" w:rsidP="00BE3731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pl-PL"/>
        </w:rPr>
        <w:t>Wyrazy o prostej budowie fonetycznej</w:t>
      </w:r>
    </w:p>
    <w:p w:rsidR="00BE3731" w:rsidRPr="00BE3731" w:rsidRDefault="00BE3731" w:rsidP="00BE3731">
      <w:pPr>
        <w:spacing w:after="0" w:line="432" w:lineRule="auto"/>
        <w:jc w:val="both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To pierwsza ważna zasada. Dużo lepszym wyrazem w trakcie początkowych ćwiczeń jest wyraz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lala</w:t>
      </w: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niż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lalka.</w:t>
      </w: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Pozornie – wyraz różni tylko jedna głoska, jednak dla dziecka, którego słuch fonemowy i umiejętność analizy głoskowej dopiero rozwija się, ta różnica niemalże zaważa na rozumieniu odczytywanego wyrazu w formie głosek.</w:t>
      </w:r>
    </w:p>
    <w:p w:rsidR="00BE3731" w:rsidRPr="00BE3731" w:rsidRDefault="00BE3731" w:rsidP="00BE3731">
      <w:pPr>
        <w:numPr>
          <w:ilvl w:val="0"/>
          <w:numId w:val="1"/>
        </w:numPr>
        <w:spacing w:before="120" w:after="0" w:line="408" w:lineRule="auto"/>
        <w:ind w:left="360"/>
        <w:jc w:val="both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Przykłady wyrazów o prostej budowie fonetycznej: np. mama, oko, lupa, lala, kiwi</w:t>
      </w:r>
    </w:p>
    <w:p w:rsidR="00BE3731" w:rsidRPr="00BE3731" w:rsidRDefault="00BE3731" w:rsidP="00BE3731">
      <w:pPr>
        <w:numPr>
          <w:ilvl w:val="0"/>
          <w:numId w:val="1"/>
        </w:numPr>
        <w:spacing w:before="120" w:after="0" w:line="408" w:lineRule="auto"/>
        <w:ind w:left="360"/>
        <w:jc w:val="both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lastRenderedPageBreak/>
        <w:t>Przykłady wyrazów o trudnej budowie fonetycznej: np. auto, pies, krab, lew, truskawka, jabłko, chleb.</w:t>
      </w:r>
    </w:p>
    <w:p w:rsidR="00BE3731" w:rsidRPr="00BE3731" w:rsidRDefault="00BE3731" w:rsidP="00BE3731">
      <w:pPr>
        <w:numPr>
          <w:ilvl w:val="0"/>
          <w:numId w:val="1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Bez zgrupowanych spółgłosek występujących jedna po drugiej, zbudowane z sylab otwartych</w:t>
      </w:r>
    </w:p>
    <w:p w:rsidR="00BE3731" w:rsidRPr="00BE3731" w:rsidRDefault="00BE3731" w:rsidP="00BE3731">
      <w:pPr>
        <w:numPr>
          <w:ilvl w:val="0"/>
          <w:numId w:val="1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To ważne, aby na początkowym etapie unikać wyrazów, w których spółgłoski występują po sobie.</w:t>
      </w:r>
    </w:p>
    <w:p w:rsidR="00BE3731" w:rsidRPr="00BE3731" w:rsidRDefault="00BE3731" w:rsidP="00BE3731">
      <w:pPr>
        <w:spacing w:before="750" w:after="450" w:line="240" w:lineRule="auto"/>
        <w:outlineLvl w:val="2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pl-PL"/>
        </w:rPr>
        <w:t>Litery odpowiadające głoskom</w:t>
      </w:r>
    </w:p>
    <w:p w:rsidR="00BE3731" w:rsidRPr="00BE3731" w:rsidRDefault="00BE3731" w:rsidP="00BE3731">
      <w:pPr>
        <w:spacing w:after="0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Gdy dopiero zaczynamy naukę, nie ułatwiają jej chwile, w których zapis nie pokrywa się z tym, co dziecko słyszy. Z tego względu np. pozornie prosty wyraz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pies </w:t>
      </w: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 – nie jest prosty. Piszemy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p-i-e-s, </w:t>
      </w: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słyszymy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pi-j-e-s. Lew? </w:t>
      </w: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Piszemy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l-e-w, </w:t>
      </w:r>
      <w:proofErr w:type="spellStart"/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szłyszymy</w:t>
      </w:r>
      <w:proofErr w:type="spellEnd"/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 </w:t>
      </w:r>
      <w:r w:rsidRPr="00BE3731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l-e-f. </w:t>
      </w:r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Jeśli dziecko zaczyna naukę – wybierzmy wyrazy, których zapis jest odzwierciedleniem słyszanych głosek.</w:t>
      </w:r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Jeśli dziecko doskonali swoje umiejętności, możemy zacząć uświadamiać mu istnienie różnic między słowem pisanym, a słyszanym.</w:t>
      </w:r>
    </w:p>
    <w:p w:rsid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Dla porównania:</w:t>
      </w:r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66432" behindDoc="0" locked="0" layoutInCell="1" allowOverlap="1" wp14:anchorId="4677A387" wp14:editId="76C94489">
            <wp:simplePos x="0" y="0"/>
            <wp:positionH relativeFrom="column">
              <wp:posOffset>-12700</wp:posOffset>
            </wp:positionH>
            <wp:positionV relativeFrom="paragraph">
              <wp:posOffset>-48895</wp:posOffset>
            </wp:positionV>
            <wp:extent cx="1974850" cy="2857500"/>
            <wp:effectExtent l="0" t="0" r="6350" b="0"/>
            <wp:wrapSquare wrapText="bothSides"/>
            <wp:docPr id="7" name="Obraz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68480" behindDoc="0" locked="0" layoutInCell="1" allowOverlap="1" wp14:anchorId="399B822E" wp14:editId="1DDDF27C">
            <wp:simplePos x="0" y="0"/>
            <wp:positionH relativeFrom="column">
              <wp:posOffset>2082800</wp:posOffset>
            </wp:positionH>
            <wp:positionV relativeFrom="paragraph">
              <wp:posOffset>-537845</wp:posOffset>
            </wp:positionV>
            <wp:extent cx="1955800" cy="2857500"/>
            <wp:effectExtent l="0" t="0" r="6350" b="0"/>
            <wp:wrapSquare wrapText="bothSides"/>
            <wp:docPr id="8" name="Obraz 8" descr="karty do nauki czytan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do nauki czytan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after="10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BE373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lastRenderedPageBreak/>
        <w:br w:type="textWrapping" w:clear="all"/>
      </w:r>
    </w:p>
    <w:p w:rsidR="00BE3731" w:rsidRPr="00BE3731" w:rsidRDefault="00BE3731" w:rsidP="00BE3731">
      <w:pPr>
        <w:spacing w:before="750" w:after="450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</w:pPr>
      <w:r w:rsidRPr="00BE3731">
        <w:rPr>
          <w:rFonts w:ascii="&amp;quot" w:eastAsia="Times New Roman" w:hAnsi="&amp;quot" w:cs="Times New Roman"/>
          <w:b/>
          <w:bCs/>
          <w:color w:val="333333"/>
          <w:sz w:val="42"/>
          <w:szCs w:val="42"/>
          <w:lang w:eastAsia="pl-PL"/>
        </w:rPr>
        <w:t>Jak skorzystać z kart?</w:t>
      </w:r>
    </w:p>
    <w:p w:rsidR="00BE3731" w:rsidRPr="00BE3731" w:rsidRDefault="00BE3731" w:rsidP="00BE3731">
      <w:pPr>
        <w:spacing w:after="0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 xml:space="preserve">Na wstępie – pobierz je bezpłatnie -&gt; </w:t>
      </w:r>
      <w:hyperlink r:id="rId10" w:history="1">
        <w:r w:rsidRPr="00BE3731">
          <w:rPr>
            <w:rFonts w:ascii="inherit" w:eastAsia="Times New Roman" w:hAnsi="inherit" w:cs="Times New Roman"/>
            <w:color w:val="13C4A5"/>
            <w:sz w:val="24"/>
            <w:szCs w:val="24"/>
            <w:u w:val="single"/>
            <w:lang w:eastAsia="pl-PL"/>
          </w:rPr>
          <w:t>KARTY DO CZYTANIA</w:t>
        </w:r>
      </w:hyperlink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W dalszej kolejności wydrukuj karty, a następnie zdecyduj jak z nich skorzystasz. Możesz zostawić karty w wydrukowanej formie lub wyciąć ich elementy. Wycięte elementy pozwalają:</w:t>
      </w:r>
    </w:p>
    <w:p w:rsidR="00BE3731" w:rsidRPr="00BE3731" w:rsidRDefault="00BE3731" w:rsidP="00BE3731">
      <w:pPr>
        <w:numPr>
          <w:ilvl w:val="0"/>
          <w:numId w:val="2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układać wyrazy według wzoru lub bez wzoru;</w:t>
      </w:r>
    </w:p>
    <w:p w:rsidR="00BE3731" w:rsidRPr="00BE3731" w:rsidRDefault="00BE3731" w:rsidP="00BE3731">
      <w:pPr>
        <w:numPr>
          <w:ilvl w:val="0"/>
          <w:numId w:val="2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łączyć zapis globalny z ilustracją oraz doskonalić umiejętność jego odczytywania;</w:t>
      </w:r>
    </w:p>
    <w:p w:rsidR="00BE3731" w:rsidRPr="00BE3731" w:rsidRDefault="00BE3731" w:rsidP="00BE3731">
      <w:pPr>
        <w:numPr>
          <w:ilvl w:val="0"/>
          <w:numId w:val="2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tworzyć wyrazy z sylab albo wyszukiwać sylaby pasujące do podpisu;</w:t>
      </w:r>
    </w:p>
    <w:p w:rsidR="00BE3731" w:rsidRPr="00BE3731" w:rsidRDefault="00BE3731" w:rsidP="00BE3731">
      <w:pPr>
        <w:numPr>
          <w:ilvl w:val="0"/>
          <w:numId w:val="2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łączyć zapis literami drukowanymi z zapisem literami pisanymi;</w:t>
      </w:r>
    </w:p>
    <w:p w:rsidR="00BE3731" w:rsidRPr="00BE3731" w:rsidRDefault="00BE3731" w:rsidP="00BE3731">
      <w:pPr>
        <w:numPr>
          <w:ilvl w:val="0"/>
          <w:numId w:val="2"/>
        </w:numPr>
        <w:spacing w:before="120" w:after="0" w:line="408" w:lineRule="auto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sortować litery ze względu na rodzaj: samogłoski, spółgłoski.</w:t>
      </w:r>
    </w:p>
    <w:p w:rsidR="00BE3731" w:rsidRPr="00BE3731" w:rsidRDefault="00BE3731" w:rsidP="00BE3731">
      <w:pPr>
        <w:spacing w:after="264" w:line="432" w:lineRule="auto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BE3731"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  <w:t>To, jak wykorzystamy karty, zależy od nas.</w:t>
      </w: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before="150" w:after="264" w:line="384" w:lineRule="auto"/>
        <w:jc w:val="center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bookmarkStart w:id="0" w:name="_GoBack"/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 wp14:anchorId="42C2DDEE" wp14:editId="48C8CFFF">
            <wp:simplePos x="0" y="0"/>
            <wp:positionH relativeFrom="column">
              <wp:posOffset>4243705</wp:posOffset>
            </wp:positionH>
            <wp:positionV relativeFrom="paragraph">
              <wp:posOffset>3104515</wp:posOffset>
            </wp:positionV>
            <wp:extent cx="1943100" cy="2857500"/>
            <wp:effectExtent l="0" t="0" r="0" b="0"/>
            <wp:wrapSquare wrapText="bothSides"/>
            <wp:docPr id="4" name="Obraz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3081020</wp:posOffset>
            </wp:positionV>
            <wp:extent cx="1981200" cy="2857500"/>
            <wp:effectExtent l="0" t="0" r="0" b="0"/>
            <wp:wrapSquare wrapText="bothSides"/>
            <wp:docPr id="1" name="Obraz 1" descr="karty do nauki czytan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do nauki czytan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3099435</wp:posOffset>
            </wp:positionV>
            <wp:extent cx="1962150" cy="2857500"/>
            <wp:effectExtent l="0" t="0" r="0" b="0"/>
            <wp:wrapSquare wrapText="bothSides"/>
            <wp:docPr id="2" name="Obraz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75648" behindDoc="0" locked="0" layoutInCell="1" allowOverlap="1" wp14:anchorId="74D8B2B0">
            <wp:simplePos x="0" y="0"/>
            <wp:positionH relativeFrom="column">
              <wp:posOffset>4307205</wp:posOffset>
            </wp:positionH>
            <wp:positionV relativeFrom="paragraph">
              <wp:posOffset>0</wp:posOffset>
            </wp:positionV>
            <wp:extent cx="1974850" cy="2857500"/>
            <wp:effectExtent l="0" t="0" r="6350" b="0"/>
            <wp:wrapSquare wrapText="bothSides"/>
            <wp:docPr id="3" name="Obraz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74624" behindDoc="0" locked="0" layoutInCell="1" allowOverlap="1" wp14:anchorId="41BE82FF" wp14:editId="44B43A84">
            <wp:simplePos x="0" y="0"/>
            <wp:positionH relativeFrom="column">
              <wp:posOffset>2209800</wp:posOffset>
            </wp:positionH>
            <wp:positionV relativeFrom="paragraph">
              <wp:posOffset>41910</wp:posOffset>
            </wp:positionV>
            <wp:extent cx="1955800" cy="2857500"/>
            <wp:effectExtent l="0" t="0" r="6350" b="0"/>
            <wp:wrapSquare wrapText="bothSides"/>
            <wp:docPr id="5" name="Obraz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731">
        <w:rPr>
          <w:rFonts w:ascii="&amp;quot" w:eastAsia="Times New Roman" w:hAnsi="&amp;quot" w:cs="Times New Roman"/>
          <w:b/>
          <w:bCs/>
          <w:noProof/>
          <w:color w:val="13C4A5"/>
          <w:sz w:val="27"/>
          <w:szCs w:val="27"/>
          <w:lang w:eastAsia="pl-PL"/>
        </w:rPr>
        <w:drawing>
          <wp:anchor distT="0" distB="0" distL="114300" distR="114300" simplePos="0" relativeHeight="251672576" behindDoc="0" locked="0" layoutInCell="1" allowOverlap="1" wp14:anchorId="6BAFAD67" wp14:editId="4D9C2ED8">
            <wp:simplePos x="0" y="0"/>
            <wp:positionH relativeFrom="column">
              <wp:posOffset>0</wp:posOffset>
            </wp:positionH>
            <wp:positionV relativeFrom="paragraph">
              <wp:posOffset>-7155180</wp:posOffset>
            </wp:positionV>
            <wp:extent cx="1981200" cy="2857500"/>
            <wp:effectExtent l="0" t="0" r="0" b="0"/>
            <wp:wrapSquare wrapText="bothSides"/>
            <wp:docPr id="6" name="Obraz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73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br w:type="textWrapping" w:clear="all"/>
      </w: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after="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BE3731" w:rsidRPr="00BE3731" w:rsidRDefault="00BE3731" w:rsidP="00BE3731">
      <w:pPr>
        <w:spacing w:after="100" w:line="384" w:lineRule="auto"/>
        <w:jc w:val="center"/>
        <w:rPr>
          <w:rFonts w:ascii="&amp;quot" w:eastAsia="Times New Roman" w:hAnsi="&amp;quot" w:cs="Times New Roman"/>
          <w:b/>
          <w:bCs/>
          <w:color w:val="444444"/>
          <w:sz w:val="27"/>
          <w:szCs w:val="27"/>
          <w:lang w:eastAsia="pl-PL"/>
        </w:rPr>
      </w:pPr>
    </w:p>
    <w:p w:rsidR="00E21C85" w:rsidRDefault="00E21C85"/>
    <w:sectPr w:rsidR="00E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FB3"/>
    <w:multiLevelType w:val="multilevel"/>
    <w:tmpl w:val="72A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E4556"/>
    <w:multiLevelType w:val="multilevel"/>
    <w:tmpl w:val="48E4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1"/>
    <w:rsid w:val="00BE3731"/>
    <w:rsid w:val="00E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23F4"/>
  <w15:chartTrackingRefBased/>
  <w15:docId w15:val="{77277F05-9FFB-4A47-BF3E-239B8F0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3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3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37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37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373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E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imonia.pl/2020/04/01/karty-do-nauki-czytania-dla-przedszkolaka-i-ucznia/3-17/" TargetMode="External"/><Relationship Id="rId13" Type="http://schemas.openxmlformats.org/officeDocument/2006/relationships/hyperlink" Target="https://panimonia.pl/2020/04/01/karty-do-nauki-czytania-dla-przedszkolaka-i-ucznia/9-10/" TargetMode="External"/><Relationship Id="rId18" Type="http://schemas.openxmlformats.org/officeDocument/2006/relationships/hyperlink" Target="https://panimonia.pl/2020/04/01/karty-do-nauki-czytania-dla-przedszkolaka-i-ucznia/4-16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panimonia.pl/2020/04/01/karty-do-nauki-czytania-dla-przedszkolaka-i-ucznia/7-13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panimonia.pl/2020/04/01/karty-do-nauki-czytania-dla-przedszkolaka-i-ucznia/2-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imonia.pl/2020/04/01/karty-do-nauki-czytania-dla-przedszkolaka-i-ucznia/7-12/" TargetMode="External"/><Relationship Id="rId11" Type="http://schemas.openxmlformats.org/officeDocument/2006/relationships/hyperlink" Target="https://panimonia.pl/2020/04/01/karty-do-nauki-czytania-dla-przedszkolaka-i-ucznia/5-14/" TargetMode="External"/><Relationship Id="rId5" Type="http://schemas.openxmlformats.org/officeDocument/2006/relationships/hyperlink" Target="https://panimonia.pl/2020/01/20/jak-nauczyc-dziecko-czytac/" TargetMode="External"/><Relationship Id="rId15" Type="http://schemas.openxmlformats.org/officeDocument/2006/relationships/hyperlink" Target="https://panimonia.pl/2020/04/01/karty-do-nauki-czytania-dla-przedszkolaka-i-ucznia/8-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imonia.pl/wp-content/uploads/2020/04/50-kart-ucz&#281;-si&#281;-czyta&#263;-i-pisa&#263;.pdf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Wilk</dc:creator>
  <cp:keywords/>
  <dc:description/>
  <cp:lastModifiedBy>Małgorzata Wilk</cp:lastModifiedBy>
  <cp:revision>1</cp:revision>
  <dcterms:created xsi:type="dcterms:W3CDTF">2020-04-01T11:19:00Z</dcterms:created>
  <dcterms:modified xsi:type="dcterms:W3CDTF">2020-04-01T11:23:00Z</dcterms:modified>
</cp:coreProperties>
</file>