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Pr="007C3F96" w:rsidRDefault="007C3F96" w:rsidP="007C3F96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sz w:val="28"/>
          <w:szCs w:val="28"/>
          <w:u w:val="single"/>
          <w:lang w:eastAsia="sk-SK"/>
        </w:rPr>
      </w:pPr>
      <w:bookmarkStart w:id="0" w:name="_Toc49941784"/>
      <w:r w:rsidRPr="007C3F96">
        <w:rPr>
          <w:rFonts w:eastAsiaTheme="minorHAnsi"/>
          <w:sz w:val="28"/>
          <w:szCs w:val="28"/>
          <w:u w:val="single"/>
          <w:lang w:eastAsia="sk-SK"/>
        </w:rPr>
        <w:t>Jemné dezertné výrobky – charakteristika a druhy</w:t>
      </w:r>
      <w:bookmarkEnd w:id="0"/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jemné dezertné smotanové výrobky sú špeciálne nepečené výrobky, v ktorých receptúre sa nachádza smotana na šľahanie. Používa sa predovšetkým na prípravu náplní výrobkov tejto skupiny. Smotana zjemňuje chuť a vôňu a zvyšuje kvalitu výrobkov. Výrobky sa vyznačujú výrazne sladkou chuťou, ktorá je zjemnená šľahačkou. Výrobky majú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polo</w:t>
      </w: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trvanlivý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charakter. Medzi najobľúbenejšie patria kávový dezert, jemný dezert brazílsky, špeciality z hrozienok, kávové rožky.</w:t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Druhy:</w:t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Kávový dezert – (Kávové zrno)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kávového zrna. Na povrchu je polievaný cukrárskou kakaovou polevou. Na reze je pod polevou obal zo svetlej modelovacej hmoty. Stred výrobku tvorí náplň tmavej farby a krémovej konzistencie. Výrobok je zvýraznený kávovou príchuťou.</w:t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Jemný dezert brazílsky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malého valca a guľky s nerovným povrchom. Povrch je potiahnutý tmavou cukrárskou kakaovou polevou. Na reze sú viditeľné nahrubo hobľované mandle v ľahkom karamelovom kréme polotuhej konzistencie. Chuťovo prevláda káva zjemnená smotanou, doplnená chuťou čokolády, karamelu a mandlí.</w:t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Špecialita z hrozienok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majú tvar kocky alebo tyčinky s hrúbkou asi 1 cm. Na vrchnej a spodnej strane sú potiahnuté cukrárskou kakaovou polevou. Vôňa a chuť pochúťky sú charakteristické po hrozienkach a čokoláde, zvýraznené rumom.</w:t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6" name="Obrázok 6" descr="Kávové zrná » Cukrárenská výroba POPRAD T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Kávové zrná » Cukrárenská výroba POPRAD TR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343150" cy="1676400"/>
            <wp:effectExtent l="0" t="0" r="0" b="0"/>
            <wp:docPr id="5" name="Obrázok 5" descr="brigádní, Operační systém Candy, Brazilský dezert, cukroví, poušť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brigádní, Operační systém Candy, Brazilský dezert, cukroví, poušť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00325" cy="1752600"/>
            <wp:effectExtent l="0" t="0" r="9525" b="0"/>
            <wp:docPr id="4" name="Obrázok 4" descr="Domáca tyčinka Margot bez cukru | Soňa Maléterová | Láskavé va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 descr="Domáca tyčinka Margot bez cukru | Soňa Maléterová | Láskavé vare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847975" cy="1733550"/>
            <wp:effectExtent l="0" t="0" r="9525" b="0"/>
            <wp:docPr id="3" name="Obrázok 3" descr="Kávové zrná, recepty ako pripraviť kávové zrná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Kávové zrná, recepty ako pripraviť kávové zrná | Dobruchut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024A0" w:rsidRPr="007C3F96" w:rsidRDefault="007C3F96" w:rsidP="007C3F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t xml:space="preserve"> </w:t>
      </w:r>
    </w:p>
    <w:sectPr w:rsidR="000024A0" w:rsidRPr="007C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195" w:hanging="360"/>
      </w:pPr>
    </w:lvl>
    <w:lvl w:ilvl="1" w:tplc="041B0019">
      <w:start w:val="1"/>
      <w:numFmt w:val="lowerLetter"/>
      <w:lvlText w:val="%2."/>
      <w:lvlJc w:val="left"/>
      <w:pPr>
        <w:ind w:left="4335" w:hanging="360"/>
      </w:pPr>
    </w:lvl>
    <w:lvl w:ilvl="2" w:tplc="041B001B">
      <w:start w:val="1"/>
      <w:numFmt w:val="lowerRoman"/>
      <w:lvlText w:val="%3."/>
      <w:lvlJc w:val="right"/>
      <w:pPr>
        <w:ind w:left="5055" w:hanging="180"/>
      </w:pPr>
    </w:lvl>
    <w:lvl w:ilvl="3" w:tplc="041B000F">
      <w:start w:val="1"/>
      <w:numFmt w:val="decimal"/>
      <w:lvlText w:val="%4."/>
      <w:lvlJc w:val="left"/>
      <w:pPr>
        <w:ind w:left="5775" w:hanging="360"/>
      </w:pPr>
    </w:lvl>
    <w:lvl w:ilvl="4" w:tplc="041B0019">
      <w:start w:val="1"/>
      <w:numFmt w:val="lowerLetter"/>
      <w:lvlText w:val="%5."/>
      <w:lvlJc w:val="left"/>
      <w:pPr>
        <w:ind w:left="6495" w:hanging="360"/>
      </w:pPr>
    </w:lvl>
    <w:lvl w:ilvl="5" w:tplc="041B001B">
      <w:start w:val="1"/>
      <w:numFmt w:val="lowerRoman"/>
      <w:lvlText w:val="%6."/>
      <w:lvlJc w:val="right"/>
      <w:pPr>
        <w:ind w:left="7215" w:hanging="180"/>
      </w:pPr>
    </w:lvl>
    <w:lvl w:ilvl="6" w:tplc="041B000F">
      <w:start w:val="1"/>
      <w:numFmt w:val="decimal"/>
      <w:lvlText w:val="%7."/>
      <w:lvlJc w:val="left"/>
      <w:pPr>
        <w:ind w:left="7935" w:hanging="360"/>
      </w:pPr>
    </w:lvl>
    <w:lvl w:ilvl="7" w:tplc="041B0019">
      <w:start w:val="1"/>
      <w:numFmt w:val="lowerLetter"/>
      <w:lvlText w:val="%8."/>
      <w:lvlJc w:val="left"/>
      <w:pPr>
        <w:ind w:left="8655" w:hanging="360"/>
      </w:pPr>
    </w:lvl>
    <w:lvl w:ilvl="8" w:tplc="041B001B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96"/>
    <w:rsid w:val="000024A0"/>
    <w:rsid w:val="007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F9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C3F9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C3F9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F9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F9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C3F9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C3F9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F9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2021-01-25T08:19:00Z</dcterms:created>
  <dcterms:modified xsi:type="dcterms:W3CDTF">2021-01-25T08:20:00Z</dcterms:modified>
</cp:coreProperties>
</file>