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611359">
        <w:rPr>
          <w:b/>
          <w:color w:val="000000" w:themeColor="text1"/>
          <w:sz w:val="24"/>
        </w:rPr>
        <w:t>1.12.2020 r (wtorek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007EFB" w:rsidRPr="00007EFB" w:rsidRDefault="00764013" w:rsidP="00611359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611359" w:rsidRPr="00611359">
        <w:rPr>
          <w:b/>
          <w:bCs/>
          <w:i/>
          <w:lang w:val="pl-PL"/>
        </w:rPr>
        <w:t>Nauczyciel współorganizujący proces kształce</w:t>
      </w:r>
      <w:r w:rsidR="00611359">
        <w:rPr>
          <w:b/>
          <w:bCs/>
          <w:i/>
          <w:lang w:val="pl-PL"/>
        </w:rPr>
        <w:t xml:space="preserve">nie ucznia ze spektrum autyzmu </w:t>
      </w:r>
      <w:bookmarkStart w:id="0" w:name="_GoBack"/>
      <w:bookmarkEnd w:id="0"/>
      <w:r w:rsidR="00611359" w:rsidRPr="00611359">
        <w:rPr>
          <w:b/>
          <w:bCs/>
          <w:i/>
          <w:lang w:val="pl-PL"/>
        </w:rPr>
        <w:t>w szkole masowej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61135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61135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007EFB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41" w:rsidRDefault="00FC6541" w:rsidP="00E92027">
      <w:r>
        <w:separator/>
      </w:r>
    </w:p>
  </w:endnote>
  <w:endnote w:type="continuationSeparator" w:id="0">
    <w:p w:rsidR="00FC6541" w:rsidRDefault="00FC654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41" w:rsidRDefault="00FC6541" w:rsidP="00E92027">
      <w:r>
        <w:separator/>
      </w:r>
    </w:p>
  </w:footnote>
  <w:footnote w:type="continuationSeparator" w:id="0">
    <w:p w:rsidR="00FC6541" w:rsidRDefault="00FC654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11359"/>
    <w:rsid w:val="00622C8E"/>
    <w:rsid w:val="006254C5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D3124"/>
    <w:rsid w:val="0081156A"/>
    <w:rsid w:val="0087210D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94C53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62DD4"/>
    <w:rsid w:val="00FC6541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2020-11-14T19:30:00Z</dcterms:created>
  <dcterms:modified xsi:type="dcterms:W3CDTF">2020-11-14T19:30:00Z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