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0C" w:rsidRP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 w:val="28"/>
          <w:szCs w:val="28"/>
          <w:u w:val="single"/>
          <w:lang w:eastAsia="sk-SK"/>
        </w:rPr>
      </w:pPr>
      <w:bookmarkStart w:id="0" w:name="_GoBack"/>
      <w:bookmarkEnd w:id="0"/>
    </w:p>
    <w:p w:rsidR="005B560C" w:rsidRPr="005B560C" w:rsidRDefault="005B560C" w:rsidP="005B560C">
      <w:pPr>
        <w:pStyle w:val="Nadpis1"/>
        <w:numPr>
          <w:ilvl w:val="0"/>
          <w:numId w:val="0"/>
        </w:numPr>
        <w:jc w:val="center"/>
        <w:rPr>
          <w:rFonts w:eastAsiaTheme="minorHAnsi"/>
          <w:sz w:val="28"/>
          <w:szCs w:val="28"/>
          <w:u w:val="single"/>
          <w:lang w:eastAsia="sk-SK"/>
        </w:rPr>
      </w:pPr>
      <w:bookmarkStart w:id="1" w:name="_Toc49941785"/>
      <w:r w:rsidRPr="005B560C">
        <w:rPr>
          <w:rFonts w:eastAsiaTheme="minorHAnsi"/>
          <w:sz w:val="28"/>
          <w:szCs w:val="28"/>
          <w:u w:val="single"/>
          <w:lang w:eastAsia="sk-SK"/>
        </w:rPr>
        <w:t>Ostatné špeciálne výrobky</w:t>
      </w:r>
      <w:bookmarkEnd w:id="1"/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sk-SK"/>
        </w:rPr>
      </w:pPr>
      <w:r>
        <w:rPr>
          <w:rFonts w:ascii="Times New Roman" w:eastAsia="Times New Roman" w:hAnsi="Times New Roman" w:cs="Times New Roman"/>
          <w:szCs w:val="24"/>
          <w:lang w:eastAsia="sk-SK"/>
        </w:rPr>
        <w:t>Medzi ostatné špeciálne výrobky patria“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* výrobky vyrábané alebo tvarované priamo z hotových upravených hmôt – drobné modelované výrobky (vyrábajú sa rovnakým spôsobom ako ozdoby z modelovacích hmôt a z pečených cukrárskych korpusov), kávová tyčinka a iné,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 xml:space="preserve">* dezertné výrobky s jednoduchou prípravou – orieškový nugát, </w:t>
      </w:r>
      <w:proofErr w:type="spellStart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šuhajda</w:t>
      </w:r>
      <w:proofErr w:type="spellEnd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pišingerový</w:t>
      </w:r>
      <w:proofErr w:type="spellEnd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 xml:space="preserve"> dezert, košíčky s kokosovou náplňou a iné,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 xml:space="preserve">* oblátkové výrobky – oblátkové gule, </w:t>
      </w:r>
      <w:proofErr w:type="spellStart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pišingerové</w:t>
      </w:r>
      <w:proofErr w:type="spellEnd"/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 xml:space="preserve"> rezy, oblátkový nugát a iné. Niektoré z nich bývajú súčasťou čajového pečiva,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* slané pražené arašidy a mandle – pripravujú sa celkom odlišnou technológiou.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5B560C" w:rsidRDefault="005B560C" w:rsidP="005B560C">
      <w:pPr>
        <w:pStyle w:val="Nadpis1"/>
        <w:numPr>
          <w:ilvl w:val="0"/>
          <w:numId w:val="0"/>
        </w:numPr>
        <w:rPr>
          <w:rFonts w:eastAsiaTheme="minorHAnsi"/>
          <w:lang w:eastAsia="sk-SK"/>
        </w:rPr>
      </w:pPr>
      <w:bookmarkStart w:id="2" w:name="_Toc49941786"/>
      <w:r>
        <w:rPr>
          <w:rFonts w:eastAsiaTheme="minorHAnsi"/>
          <w:lang w:eastAsia="sk-SK"/>
        </w:rPr>
        <w:t>Charakteristika výrobkov</w:t>
      </w:r>
      <w:bookmarkEnd w:id="2"/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szCs w:val="24"/>
          <w:lang w:eastAsia="sk-SK"/>
        </w:rPr>
        <w:t>Do tejto skupiny zaraďujeme široký sortiment nepečených výrobkov, ktoré nemožno priradiť k predchádzajúcim dvom skupinám. Spoločným znakom týchto výrobkov je jednoduchá príprava a možnosť použitia strojového zariadenia ( krájanie, máčanie, balenie)</w:t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3B193767" wp14:editId="516F3040">
            <wp:simplePos x="0" y="0"/>
            <wp:positionH relativeFrom="column">
              <wp:posOffset>3424555</wp:posOffset>
            </wp:positionH>
            <wp:positionV relativeFrom="paragraph">
              <wp:posOffset>54610</wp:posOffset>
            </wp:positionV>
            <wp:extent cx="2265045" cy="2085975"/>
            <wp:effectExtent l="0" t="0" r="0" b="0"/>
            <wp:wrapSquare wrapText="bothSides"/>
            <wp:docPr id="12" name="Obrázok 12" descr="Čokoládová šuhajda » Cukrárenská výroba POPRAD TR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Čokoládová šuhajda » Cukrárenská výroba POPRAD TRA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86" b="100000" l="39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3" r="17884"/>
                    <a:stretch/>
                  </pic:blipFill>
                  <pic:spPr bwMode="auto">
                    <a:xfrm>
                      <a:off x="0" y="0"/>
                      <a:ext cx="22650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1D12A14" wp14:editId="10482752">
            <wp:simplePos x="0" y="0"/>
            <wp:positionH relativeFrom="column">
              <wp:posOffset>-23495</wp:posOffset>
            </wp:positionH>
            <wp:positionV relativeFrom="paragraph">
              <wp:posOffset>149860</wp:posOffset>
            </wp:positionV>
            <wp:extent cx="2847340" cy="1990725"/>
            <wp:effectExtent l="0" t="0" r="0" b="9525"/>
            <wp:wrapSquare wrapText="bothSides"/>
            <wp:docPr id="11" name="Obrázok 11" descr="Nugát klasický FIAT Majani 10g - Toskan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ugát klasický FIAT Majani 10g - Toskania.s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43416" r="46281" b="23306"/>
                    <a:stretch/>
                  </pic:blipFill>
                  <pic:spPr bwMode="auto">
                    <a:xfrm>
                      <a:off x="0" y="0"/>
                      <a:ext cx="28473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</w:p>
    <w:p w:rsidR="005B560C" w:rsidRDefault="005B560C" w:rsidP="005B560C">
      <w:pPr>
        <w:tabs>
          <w:tab w:val="left" w:pos="8220"/>
        </w:tabs>
        <w:spacing w:after="0" w:line="240" w:lineRule="auto"/>
        <w:jc w:val="both"/>
        <w:rPr>
          <w:rFonts w:ascii="Times New Roman" w:eastAsia="Times New Roman" w:hAnsi="Times New Roman" w:cs="Times New Roman"/>
          <w:b w:val="0"/>
          <w:szCs w:val="24"/>
          <w:lang w:eastAsia="sk-SK"/>
        </w:rPr>
      </w:pPr>
      <w:r>
        <w:rPr>
          <w:rFonts w:ascii="Times New Roman" w:eastAsia="Times New Roman" w:hAnsi="Times New Roman" w:cs="Times New Roman"/>
          <w:b w:val="0"/>
          <w:noProof/>
          <w:szCs w:val="24"/>
          <w:lang w:eastAsia="sk-SK"/>
        </w:rPr>
        <w:t xml:space="preserve">                      </w:t>
      </w:r>
    </w:p>
    <w:p w:rsidR="00BC1F36" w:rsidRDefault="00BC1F36"/>
    <w:p w:rsidR="005B560C" w:rsidRDefault="005B560C"/>
    <w:p w:rsidR="005B560C" w:rsidRDefault="005B560C"/>
    <w:p w:rsidR="005B560C" w:rsidRDefault="005B560C"/>
    <w:p w:rsidR="005B560C" w:rsidRDefault="005B560C"/>
    <w:p w:rsidR="005B560C" w:rsidRDefault="005B560C" w:rsidP="005B560C">
      <w:pPr>
        <w:jc w:val="left"/>
      </w:pPr>
      <w:r>
        <w:rPr>
          <w:rFonts w:ascii="Times New Roman" w:hAnsi="Times New Roman" w:cs="Times New Roman"/>
          <w:b w:val="0"/>
        </w:rPr>
        <w:t xml:space="preserve">                </w:t>
      </w:r>
      <w:r w:rsidRPr="005B560C">
        <w:rPr>
          <w:rFonts w:ascii="Times New Roman" w:hAnsi="Times New Roman" w:cs="Times New Roman"/>
          <w:b w:val="0"/>
        </w:rPr>
        <w:t>orieškový nugát</w:t>
      </w:r>
      <w:r w:rsidRPr="005B560C">
        <w:rPr>
          <w:b w:val="0"/>
        </w:rPr>
        <w:tab/>
      </w:r>
      <w:r>
        <w:tab/>
      </w:r>
      <w:r>
        <w:tab/>
      </w:r>
      <w:r>
        <w:tab/>
      </w:r>
      <w:r w:rsidRPr="005B560C">
        <w:rPr>
          <w:rFonts w:ascii="Times New Roman" w:hAnsi="Times New Roman" w:cs="Times New Roman"/>
          <w:b w:val="0"/>
        </w:rPr>
        <w:tab/>
        <w:t xml:space="preserve">  </w:t>
      </w:r>
      <w:r>
        <w:rPr>
          <w:rFonts w:ascii="Times New Roman" w:hAnsi="Times New Roman" w:cs="Times New Roman"/>
          <w:b w:val="0"/>
        </w:rPr>
        <w:t xml:space="preserve">                   </w:t>
      </w:r>
      <w:r w:rsidRPr="005B560C">
        <w:rPr>
          <w:rFonts w:ascii="Times New Roman" w:hAnsi="Times New Roman" w:cs="Times New Roman"/>
          <w:b w:val="0"/>
        </w:rPr>
        <w:t xml:space="preserve"> </w:t>
      </w:r>
      <w:proofErr w:type="spellStart"/>
      <w:r w:rsidRPr="005B560C">
        <w:rPr>
          <w:rFonts w:ascii="Times New Roman" w:hAnsi="Times New Roman" w:cs="Times New Roman"/>
          <w:b w:val="0"/>
        </w:rPr>
        <w:t>šuhajdy</w:t>
      </w:r>
      <w:proofErr w:type="spellEnd"/>
    </w:p>
    <w:sectPr w:rsidR="005B56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7D20"/>
    <w:multiLevelType w:val="hybridMultilevel"/>
    <w:tmpl w:val="E958912C"/>
    <w:lvl w:ilvl="0" w:tplc="CAE8BB34">
      <w:start w:val="1"/>
      <w:numFmt w:val="decimal"/>
      <w:pStyle w:val="Nadpis1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500" w:hanging="360"/>
      </w:pPr>
    </w:lvl>
    <w:lvl w:ilvl="2" w:tplc="041B001B">
      <w:start w:val="1"/>
      <w:numFmt w:val="lowerRoman"/>
      <w:lvlText w:val="%3."/>
      <w:lvlJc w:val="right"/>
      <w:pPr>
        <w:ind w:left="2220" w:hanging="180"/>
      </w:pPr>
    </w:lvl>
    <w:lvl w:ilvl="3" w:tplc="041B000F">
      <w:start w:val="1"/>
      <w:numFmt w:val="decimal"/>
      <w:lvlText w:val="%4."/>
      <w:lvlJc w:val="left"/>
      <w:pPr>
        <w:ind w:left="2940" w:hanging="360"/>
      </w:pPr>
    </w:lvl>
    <w:lvl w:ilvl="4" w:tplc="041B0019">
      <w:start w:val="1"/>
      <w:numFmt w:val="lowerLetter"/>
      <w:lvlText w:val="%5."/>
      <w:lvlJc w:val="left"/>
      <w:pPr>
        <w:ind w:left="3660" w:hanging="360"/>
      </w:pPr>
    </w:lvl>
    <w:lvl w:ilvl="5" w:tplc="041B001B">
      <w:start w:val="1"/>
      <w:numFmt w:val="lowerRoman"/>
      <w:lvlText w:val="%6."/>
      <w:lvlJc w:val="right"/>
      <w:pPr>
        <w:ind w:left="4380" w:hanging="180"/>
      </w:pPr>
    </w:lvl>
    <w:lvl w:ilvl="6" w:tplc="041B000F">
      <w:start w:val="1"/>
      <w:numFmt w:val="decimal"/>
      <w:lvlText w:val="%7."/>
      <w:lvlJc w:val="left"/>
      <w:pPr>
        <w:ind w:left="5100" w:hanging="360"/>
      </w:pPr>
    </w:lvl>
    <w:lvl w:ilvl="7" w:tplc="041B0019">
      <w:start w:val="1"/>
      <w:numFmt w:val="lowerLetter"/>
      <w:lvlText w:val="%8."/>
      <w:lvlJc w:val="left"/>
      <w:pPr>
        <w:ind w:left="5820" w:hanging="360"/>
      </w:pPr>
    </w:lvl>
    <w:lvl w:ilvl="8" w:tplc="041B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60C"/>
    <w:rsid w:val="005B560C"/>
    <w:rsid w:val="00B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60C"/>
    <w:pPr>
      <w:jc w:val="right"/>
    </w:pPr>
    <w:rPr>
      <w:b/>
      <w:sz w:val="24"/>
    </w:rPr>
  </w:style>
  <w:style w:type="paragraph" w:styleId="Nadpis1">
    <w:name w:val="heading 1"/>
    <w:basedOn w:val="Normlny"/>
    <w:next w:val="Normlny"/>
    <w:link w:val="Nadpis1Char"/>
    <w:uiPriority w:val="1"/>
    <w:qFormat/>
    <w:rsid w:val="005B560C"/>
    <w:pPr>
      <w:numPr>
        <w:numId w:val="1"/>
      </w:numPr>
      <w:spacing w:after="0" w:line="240" w:lineRule="auto"/>
      <w:ind w:left="780"/>
      <w:jc w:val="left"/>
      <w:outlineLvl w:val="0"/>
    </w:pPr>
    <w:rPr>
      <w:rFonts w:ascii="Times New Roman" w:eastAsia="Times New Roman" w:hAnsi="Times New Roman" w:cs="Times New Roman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5B560C"/>
    <w:rPr>
      <w:rFonts w:ascii="Times New Roman" w:eastAsia="Times New Roman" w:hAnsi="Times New Roman" w:cs="Times New Roman"/>
      <w:b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B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560C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60C"/>
    <w:pPr>
      <w:jc w:val="right"/>
    </w:pPr>
    <w:rPr>
      <w:b/>
      <w:sz w:val="24"/>
    </w:rPr>
  </w:style>
  <w:style w:type="paragraph" w:styleId="Nadpis1">
    <w:name w:val="heading 1"/>
    <w:basedOn w:val="Normlny"/>
    <w:next w:val="Normlny"/>
    <w:link w:val="Nadpis1Char"/>
    <w:uiPriority w:val="1"/>
    <w:qFormat/>
    <w:rsid w:val="005B560C"/>
    <w:pPr>
      <w:numPr>
        <w:numId w:val="1"/>
      </w:numPr>
      <w:spacing w:after="0" w:line="240" w:lineRule="auto"/>
      <w:ind w:left="780"/>
      <w:jc w:val="left"/>
      <w:outlineLvl w:val="0"/>
    </w:pPr>
    <w:rPr>
      <w:rFonts w:ascii="Times New Roman" w:eastAsia="Times New Roman" w:hAnsi="Times New Roman" w:cs="Times New Roman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1"/>
    <w:rsid w:val="005B560C"/>
    <w:rPr>
      <w:rFonts w:ascii="Times New Roman" w:eastAsia="Times New Roman" w:hAnsi="Times New Roman" w:cs="Times New Roman"/>
      <w:b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B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560C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7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2021-01-25T08:20:00Z</dcterms:created>
  <dcterms:modified xsi:type="dcterms:W3CDTF">2021-01-25T08:28:00Z</dcterms:modified>
</cp:coreProperties>
</file>