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D3" w:rsidRPr="00CD2FD3" w:rsidRDefault="00CD2FD3" w:rsidP="00CD2FD3">
      <w:pPr>
        <w:pStyle w:val="Default"/>
        <w:jc w:val="center"/>
        <w:rPr>
          <w:bCs/>
          <w:sz w:val="28"/>
          <w:szCs w:val="28"/>
        </w:rPr>
      </w:pPr>
      <w:r w:rsidRPr="00CD2FD3">
        <w:rPr>
          <w:bCs/>
          <w:sz w:val="28"/>
          <w:szCs w:val="28"/>
        </w:rPr>
        <w:t>Pomôcky uľahčujúce pohyb mimo postele</w:t>
      </w:r>
    </w:p>
    <w:p w:rsidR="00CD2FD3" w:rsidRPr="00CD2FD3" w:rsidRDefault="00CD2FD3" w:rsidP="00CD2FD3">
      <w:pPr>
        <w:pStyle w:val="Default"/>
        <w:rPr>
          <w:bCs/>
        </w:rPr>
      </w:pPr>
    </w:p>
    <w:p w:rsidR="00CD2FD3" w:rsidRDefault="00CD2FD3" w:rsidP="00CD2FD3">
      <w:pPr>
        <w:pStyle w:val="Default"/>
        <w:rPr>
          <w:bCs/>
          <w:sz w:val="23"/>
          <w:szCs w:val="23"/>
        </w:rPr>
      </w:pPr>
    </w:p>
    <w:p w:rsidR="00CD2FD3" w:rsidRPr="00CD2FD3" w:rsidRDefault="00CD2FD3" w:rsidP="00CD2FD3">
      <w:pPr>
        <w:pStyle w:val="Default"/>
        <w:rPr>
          <w:b w:val="0"/>
          <w:bCs/>
          <w:sz w:val="23"/>
          <w:szCs w:val="23"/>
        </w:rPr>
      </w:pPr>
    </w:p>
    <w:p w:rsidR="00CD2FD3" w:rsidRDefault="00CD2FD3" w:rsidP="00CD2FD3">
      <w:pPr>
        <w:pStyle w:val="Default"/>
        <w:rPr>
          <w:b w:val="0"/>
          <w:sz w:val="23"/>
          <w:szCs w:val="23"/>
        </w:rPr>
      </w:pPr>
      <w:r w:rsidRPr="00CD2FD3">
        <w:rPr>
          <w:b w:val="0"/>
          <w:bCs/>
          <w:sz w:val="23"/>
          <w:szCs w:val="23"/>
        </w:rPr>
        <w:t>Medzi p</w:t>
      </w:r>
      <w:r w:rsidRPr="00CD2FD3">
        <w:rPr>
          <w:b w:val="0"/>
          <w:bCs/>
          <w:sz w:val="23"/>
          <w:szCs w:val="23"/>
        </w:rPr>
        <w:t xml:space="preserve">omôcky uľahčujúce pohyb mimo postele </w:t>
      </w:r>
      <w:r w:rsidRPr="00CD2FD3">
        <w:rPr>
          <w:b w:val="0"/>
          <w:bCs/>
          <w:sz w:val="23"/>
          <w:szCs w:val="23"/>
        </w:rPr>
        <w:t>patria</w:t>
      </w:r>
      <w:r>
        <w:rPr>
          <w:bCs/>
          <w:sz w:val="23"/>
          <w:szCs w:val="23"/>
        </w:rPr>
        <w:t xml:space="preserve"> </w:t>
      </w:r>
      <w:r>
        <w:rPr>
          <w:b w:val="0"/>
          <w:sz w:val="23"/>
          <w:szCs w:val="23"/>
        </w:rPr>
        <w:t xml:space="preserve">(drevené </w:t>
      </w:r>
      <w:proofErr w:type="spellStart"/>
      <w:r>
        <w:rPr>
          <w:b w:val="0"/>
          <w:sz w:val="23"/>
          <w:szCs w:val="23"/>
        </w:rPr>
        <w:t>podpazuchové</w:t>
      </w:r>
      <w:proofErr w:type="spellEnd"/>
      <w:r>
        <w:rPr>
          <w:b w:val="0"/>
          <w:sz w:val="23"/>
          <w:szCs w:val="23"/>
        </w:rPr>
        <w:t xml:space="preserve"> barly, predlakťové (francúzske barly), palice, zariadenie na chodenie , invalidné vozíky mechanické a elektrické a pod. </w:t>
      </w:r>
    </w:p>
    <w:p w:rsidR="00CD2FD3" w:rsidRDefault="00CD2FD3" w:rsidP="00CD2FD3">
      <w:pPr>
        <w:rPr>
          <w:rFonts w:ascii="Roboto" w:hAnsi="Roboto"/>
          <w:noProof/>
          <w:color w:val="2962FF"/>
          <w:lang w:eastAsia="sk-SK"/>
        </w:rPr>
      </w:pPr>
    </w:p>
    <w:p w:rsidR="00CD2FD3" w:rsidRDefault="00CD2FD3" w:rsidP="00CD2FD3">
      <w:pPr>
        <w:rPr>
          <w:rFonts w:ascii="Roboto" w:hAnsi="Roboto"/>
          <w:noProof/>
          <w:color w:val="2962FF"/>
          <w:lang w:eastAsia="sk-SK"/>
        </w:rPr>
      </w:pPr>
    </w:p>
    <w:p w:rsidR="00CD2FD3" w:rsidRDefault="00CD2FD3" w:rsidP="00CD2FD3">
      <w:pPr>
        <w:rPr>
          <w:rFonts w:ascii="Roboto" w:hAnsi="Roboto"/>
          <w:noProof/>
          <w:color w:val="2962FF"/>
          <w:lang w:eastAsia="sk-SK"/>
        </w:rPr>
      </w:pP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63C32F27" wp14:editId="51F4CFA5">
            <wp:extent cx="1476375" cy="1476375"/>
            <wp:effectExtent l="0" t="0" r="9525" b="9525"/>
            <wp:docPr id="14" name="Obrázok 14" descr="Chodúľka kĺbová skladac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dúľka kĺbová skladac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sk-SK"/>
        </w:rPr>
        <w:t xml:space="preserve"> 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t xml:space="preserve">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37CEDD09" wp14:editId="160271EC">
            <wp:extent cx="1381125" cy="1381125"/>
            <wp:effectExtent l="0" t="0" r="9525" b="9525"/>
            <wp:docPr id="15" name="Obrázok 15" descr="Francúzska barla s odrazkou - čier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úzska barla s odrazkou - čier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sk-SK"/>
        </w:rPr>
        <w:t xml:space="preserve">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t xml:space="preserve">   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76D9216E" wp14:editId="02E469BB">
            <wp:extent cx="1333500" cy="1333500"/>
            <wp:effectExtent l="0" t="0" r="0" b="0"/>
            <wp:docPr id="16" name="Obrázok 16" descr="Drevená barla podpazušná - stredná (100 - 116 cm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vená barla podpazušná - stredná (100 - 116 cm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D3" w:rsidRPr="006D605A" w:rsidRDefault="00CD2FD3" w:rsidP="00CD2FD3">
      <w:pPr>
        <w:rPr>
          <w:rFonts w:ascii="Roboto" w:hAnsi="Roboto"/>
          <w:noProof/>
          <w:lang w:eastAsia="sk-SK"/>
        </w:rPr>
      </w:pPr>
      <w:r w:rsidRPr="006D605A">
        <w:rPr>
          <w:rFonts w:ascii="Roboto" w:hAnsi="Roboto"/>
          <w:noProof/>
          <w:lang w:eastAsia="sk-SK"/>
        </w:rPr>
        <w:t xml:space="preserve">   Skladacia chodúľka                      Francúzske barly                 Drevenná podpazuchová barľa</w:t>
      </w:r>
    </w:p>
    <w:p w:rsidR="00CD2FD3" w:rsidRDefault="00CD2FD3" w:rsidP="00CD2FD3">
      <w:pPr>
        <w:rPr>
          <w:b/>
        </w:rPr>
      </w:pPr>
      <w:r w:rsidRPr="006D605A">
        <w:rPr>
          <w:rFonts w:ascii="Roboto" w:hAnsi="Roboto"/>
          <w:noProof/>
          <w:lang w:eastAsia="sk-SK"/>
        </w:rPr>
        <w:t xml:space="preserve">                         </w:t>
      </w:r>
      <w:r w:rsidRPr="006D605A">
        <w:rPr>
          <w:b/>
        </w:rPr>
        <w:t xml:space="preserve">    </w:t>
      </w:r>
      <w:r w:rsidRPr="006D605A">
        <w:rPr>
          <w:rFonts w:ascii="Roboto" w:hAnsi="Roboto"/>
          <w:noProof/>
          <w:lang w:eastAsia="sk-SK"/>
        </w:rPr>
        <w:t xml:space="preserve">            </w:t>
      </w:r>
    </w:p>
    <w:p w:rsidR="00CD2FD3" w:rsidRDefault="00CD2FD3" w:rsidP="00CD2FD3">
      <w:pPr>
        <w:rPr>
          <w:b/>
        </w:rPr>
      </w:pPr>
      <w:r>
        <w:rPr>
          <w:b/>
        </w:rPr>
        <w:t xml:space="preserve">    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0FB8ECA6" wp14:editId="445B5B3F">
            <wp:extent cx="1457325" cy="1457325"/>
            <wp:effectExtent l="0" t="0" r="9525" b="9525"/>
            <wp:docPr id="17" name="Obrázok 17" descr="Dvojkolk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vojkolk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7FC8608A" wp14:editId="452C9A79">
            <wp:extent cx="1800225" cy="1800225"/>
            <wp:effectExtent l="0" t="0" r="9525" b="9525"/>
            <wp:docPr id="21" name="Obrázok 21" descr="Štvorkolka - podpora pohyb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tvorkolka - podpora pohyb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</w:p>
    <w:p w:rsidR="00CD2FD3" w:rsidRPr="00CD2FD3" w:rsidRDefault="00CD2FD3" w:rsidP="00CD2FD3">
      <w:r>
        <w:rPr>
          <w:b/>
        </w:rPr>
        <w:t xml:space="preserve">      </w:t>
      </w:r>
      <w:proofErr w:type="spellStart"/>
      <w:r>
        <w:t>Dvojkolka</w:t>
      </w:r>
      <w:proofErr w:type="spellEnd"/>
      <w:r>
        <w:t xml:space="preserve"> na udržanie rovnováhy</w:t>
      </w:r>
      <w:r w:rsidRPr="0031637B">
        <w:t xml:space="preserve">           </w:t>
      </w:r>
      <w:r>
        <w:t xml:space="preserve">  </w:t>
      </w:r>
      <w:proofErr w:type="spellStart"/>
      <w:r>
        <w:t>Štvorkolka</w:t>
      </w:r>
      <w:proofErr w:type="spellEnd"/>
      <w:r>
        <w:t xml:space="preserve"> na udržanie rovnováhy</w:t>
      </w:r>
    </w:p>
    <w:p w:rsidR="00CD2FD3" w:rsidRPr="00C00596" w:rsidRDefault="00CD2FD3" w:rsidP="00CD2FD3">
      <w:pPr>
        <w:rPr>
          <w:b/>
        </w:rPr>
      </w:pPr>
      <w:r>
        <w:t xml:space="preserve">             </w:t>
      </w:r>
    </w:p>
    <w:p w:rsidR="00CD2FD3" w:rsidRDefault="00CD2FD3" w:rsidP="00CD2FD3"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t xml:space="preserve">        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2E53F4E4" wp14:editId="65E699D4">
            <wp:extent cx="1495425" cy="1495425"/>
            <wp:effectExtent l="0" t="0" r="9525" b="9525"/>
            <wp:docPr id="22" name="Obrázok 22" descr="Mobilné chodítko pre podporu pohyb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bilné chodítko pre podporu pohyb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t xml:space="preserve">                     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5CB25E04" wp14:editId="41CDB6E4">
            <wp:extent cx="1371600" cy="1371600"/>
            <wp:effectExtent l="0" t="0" r="0" b="0"/>
            <wp:docPr id="23" name="Obrázok 23" descr="Skladací invalidný vozík Next, 50 c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ladací invalidný vozík Next, 50 c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114AE" w:rsidRDefault="00CD2FD3">
      <w:r>
        <w:t xml:space="preserve">           </w:t>
      </w:r>
      <w:r>
        <w:t xml:space="preserve">     </w:t>
      </w:r>
      <w:r>
        <w:t xml:space="preserve"> Mobilné </w:t>
      </w:r>
      <w:proofErr w:type="spellStart"/>
      <w:r>
        <w:t>chodítko</w:t>
      </w:r>
      <w:proofErr w:type="spellEnd"/>
      <w:r>
        <w:t xml:space="preserve">                                </w:t>
      </w:r>
      <w:r>
        <w:t xml:space="preserve">                 </w:t>
      </w:r>
      <w:r>
        <w:t xml:space="preserve"> Invalidný vozík</w:t>
      </w:r>
      <w:bookmarkStart w:id="0" w:name="_GoBack"/>
      <w:bookmarkEnd w:id="0"/>
    </w:p>
    <w:sectPr w:rsidR="0061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D3"/>
    <w:rsid w:val="000A0324"/>
    <w:rsid w:val="001F6B9D"/>
    <w:rsid w:val="00416D04"/>
    <w:rsid w:val="005147D3"/>
    <w:rsid w:val="005B2658"/>
    <w:rsid w:val="005F44F1"/>
    <w:rsid w:val="006521D4"/>
    <w:rsid w:val="006761B1"/>
    <w:rsid w:val="00795280"/>
    <w:rsid w:val="009C501A"/>
    <w:rsid w:val="00A772C5"/>
    <w:rsid w:val="00B62785"/>
    <w:rsid w:val="00B6305C"/>
    <w:rsid w:val="00B90311"/>
    <w:rsid w:val="00C87093"/>
    <w:rsid w:val="00CD20E2"/>
    <w:rsid w:val="00CD2FD3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FD3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2F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FD3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FD3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2F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FD3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nizdrav.sk/tovar/2076/stvorkolka-podpora-pohybu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unizdrav.sk/tovar/2701/francuzska-barla-s-odrazkou-ciern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unizdrav.sk/thumbs/1200-1200-normal-75/product-2512/155345/50cf74/skladaci-invalidny-vozik-next-50-cm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nizdrav.sk/tovar/2127/dvojkolka" TargetMode="External"/><Relationship Id="rId5" Type="http://schemas.openxmlformats.org/officeDocument/2006/relationships/hyperlink" Target="https://unizdrav.sk/tovar/2032/chodulka-klbova-skladacia" TargetMode="External"/><Relationship Id="rId15" Type="http://schemas.openxmlformats.org/officeDocument/2006/relationships/hyperlink" Target="https://unizdrav.sk/tovar/2175/mobilne-choditko-pre-podporu-pohyb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zdrav.sk/thumbs/1200-1200-normal-75/product-21/bbb75c/2c7b9f/drevena-barla-podpazusna-stredna-100-116-cm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2022-02-16T19:17:00Z</dcterms:created>
  <dcterms:modified xsi:type="dcterms:W3CDTF">2022-02-16T19:22:00Z</dcterms:modified>
</cp:coreProperties>
</file>